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884"/>
        <w:jc w:val="center"/>
        <w:rPr>
          <w:sz w:val="28"/>
          <w:szCs w:val="28"/>
        </w:rPr>
      </w:pPr>
      <w:r>
        <w:rPr>
          <w:sz w:val="28"/>
          <w:szCs w:val="28"/>
        </w:rPr>
        <w:t xml:space="preserve">ФЕДЕРАЛЬНОЕ КАЗНАЧЕЙСТВО</w:t>
      </w:r>
      <w:r>
        <w:rPr>
          <w:sz w:val="28"/>
          <w:szCs w:val="28"/>
        </w:rPr>
      </w:r>
      <w:r>
        <w:rPr>
          <w:sz w:val="28"/>
          <w:szCs w:val="28"/>
        </w:rPr>
      </w:r>
    </w:p>
    <w:p>
      <w:pPr>
        <w:pStyle w:val="884"/>
        <w:jc w:val="center"/>
        <w:rPr>
          <w:sz w:val="28"/>
          <w:szCs w:val="28"/>
        </w:rPr>
      </w:pPr>
      <w:r>
        <w:rPr>
          <w:sz w:val="28"/>
          <w:szCs w:val="28"/>
        </w:rPr>
        <w:t xml:space="preserve">УПРАВЛЕНИЕ ФЕДЕРАЛЬНОГО КАЗНАЧЕЙСТВА</w:t>
      </w:r>
      <w:r>
        <w:rPr>
          <w:sz w:val="28"/>
          <w:szCs w:val="28"/>
        </w:rPr>
      </w:r>
      <w:r>
        <w:rPr>
          <w:sz w:val="28"/>
          <w:szCs w:val="28"/>
        </w:rPr>
      </w:r>
    </w:p>
    <w:p>
      <w:pPr>
        <w:jc w:val="cente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ПО ЧЕЛЯБИНСКОЙ ОБЛАСТИ</w:t>
      </w:r>
      <w:r>
        <w:rPr>
          <w:rFonts w:ascii="Times New Roman" w:hAnsi="Times New Roman" w:cs="Times New Roman"/>
          <w:sz w:val="28"/>
          <w:szCs w:val="28"/>
        </w:rPr>
      </w:r>
      <w:r>
        <w:rPr>
          <w:rFonts w:ascii="Times New Roman" w:hAnsi="Times New Roman" w:cs="Times New Roman"/>
          <w:sz w:val="28"/>
          <w:szCs w:val="28"/>
        </w:rPr>
      </w:r>
    </w:p>
    <w:p>
      <w:pPr>
        <w:pStyle w:val="884"/>
        <w:jc w:val="center"/>
        <w:rPr>
          <w:sz w:val="28"/>
          <w:szCs w:val="28"/>
        </w:rPr>
      </w:pPr>
      <w:r>
        <w:rPr>
          <w:sz w:val="28"/>
          <w:szCs w:val="28"/>
        </w:rPr>
      </w:r>
      <w:r>
        <w:rPr>
          <w:sz w:val="28"/>
          <w:szCs w:val="28"/>
        </w:rPr>
      </w:r>
      <w:r>
        <w:rPr>
          <w:sz w:val="28"/>
          <w:szCs w:val="28"/>
        </w:rPr>
      </w:r>
    </w:p>
    <w:p>
      <w:pPr>
        <w:pStyle w:val="884"/>
        <w:jc w:val="center"/>
        <w:rPr>
          <w:sz w:val="28"/>
          <w:szCs w:val="28"/>
        </w:rPr>
      </w:pPr>
      <w:r>
        <w:rPr>
          <w:sz w:val="28"/>
          <w:szCs w:val="28"/>
        </w:rPr>
      </w:r>
      <w:r>
        <w:rPr>
          <w:sz w:val="28"/>
          <w:szCs w:val="28"/>
        </w:rPr>
      </w:r>
      <w:r>
        <w:rPr>
          <w:sz w:val="28"/>
          <w:szCs w:val="28"/>
        </w:rPr>
      </w:r>
    </w:p>
    <w:p>
      <w:pPr>
        <w:pStyle w:val="884"/>
        <w:jc w:val="center"/>
        <w:rPr>
          <w:sz w:val="28"/>
          <w:szCs w:val="28"/>
        </w:rPr>
      </w:pPr>
      <w:r>
        <w:rPr>
          <w:sz w:val="28"/>
          <w:szCs w:val="28"/>
        </w:rPr>
      </w:r>
      <w:r>
        <w:rPr>
          <w:sz w:val="28"/>
          <w:szCs w:val="28"/>
        </w:rPr>
      </w:r>
      <w:r>
        <w:rPr>
          <w:sz w:val="28"/>
          <w:szCs w:val="28"/>
        </w:rPr>
      </w:r>
    </w:p>
    <w:p>
      <w:pPr>
        <w:pStyle w:val="884"/>
        <w:jc w:val="center"/>
        <w:rPr>
          <w:sz w:val="28"/>
          <w:szCs w:val="28"/>
        </w:rPr>
      </w:pPr>
      <w:r>
        <w:rPr>
          <w:sz w:val="28"/>
          <w:szCs w:val="28"/>
        </w:rPr>
      </w:r>
      <w:r>
        <w:rPr>
          <w:sz w:val="28"/>
          <w:szCs w:val="28"/>
        </w:rPr>
      </w:r>
      <w:r>
        <w:rPr>
          <w:sz w:val="28"/>
          <w:szCs w:val="28"/>
        </w:rPr>
      </w:r>
    </w:p>
    <w:p>
      <w:pPr>
        <w:pStyle w:val="884"/>
        <w:jc w:val="center"/>
        <w:rPr>
          <w:sz w:val="28"/>
          <w:szCs w:val="28"/>
        </w:rPr>
      </w:pPr>
      <w:r>
        <w:rPr>
          <w:sz w:val="28"/>
          <w:szCs w:val="28"/>
        </w:rPr>
      </w:r>
      <w:r>
        <w:rPr>
          <w:sz w:val="28"/>
          <w:szCs w:val="28"/>
        </w:rPr>
      </w:r>
      <w:r>
        <w:rPr>
          <w:sz w:val="28"/>
          <w:szCs w:val="28"/>
        </w:rPr>
      </w:r>
    </w:p>
    <w:p>
      <w:pPr>
        <w:pStyle w:val="884"/>
        <w:jc w:val="center"/>
        <w:rPr>
          <w:sz w:val="28"/>
          <w:szCs w:val="28"/>
        </w:rPr>
      </w:pPr>
      <w:r>
        <w:rPr>
          <w:sz w:val="28"/>
          <w:szCs w:val="28"/>
        </w:rPr>
      </w:r>
      <w:r>
        <w:rPr>
          <w:sz w:val="28"/>
          <w:szCs w:val="28"/>
        </w:rPr>
      </w:r>
      <w:r>
        <w:rPr>
          <w:sz w:val="28"/>
          <w:szCs w:val="28"/>
        </w:rPr>
      </w:r>
    </w:p>
    <w:p>
      <w:pPr>
        <w:pStyle w:val="884"/>
        <w:jc w:val="center"/>
        <w:rPr>
          <w:sz w:val="28"/>
          <w:szCs w:val="28"/>
        </w:rPr>
      </w:pPr>
      <w:r>
        <w:rPr>
          <w:sz w:val="28"/>
          <w:szCs w:val="28"/>
        </w:rPr>
      </w:r>
      <w:r>
        <w:rPr>
          <w:sz w:val="28"/>
          <w:szCs w:val="28"/>
        </w:rPr>
      </w:r>
      <w:r>
        <w:rPr>
          <w:sz w:val="28"/>
          <w:szCs w:val="28"/>
        </w:rPr>
      </w:r>
    </w:p>
    <w:p>
      <w:pPr>
        <w:pStyle w:val="884"/>
        <w:jc w:val="center"/>
        <w:rPr>
          <w:sz w:val="28"/>
          <w:szCs w:val="28"/>
        </w:rPr>
      </w:pPr>
      <w:r>
        <w:rPr>
          <w:sz w:val="28"/>
          <w:szCs w:val="28"/>
        </w:rPr>
      </w:r>
      <w:r>
        <w:rPr>
          <w:sz w:val="28"/>
          <w:szCs w:val="28"/>
        </w:rPr>
      </w:r>
      <w:r>
        <w:rPr>
          <w:sz w:val="28"/>
          <w:szCs w:val="28"/>
        </w:rPr>
      </w:r>
    </w:p>
    <w:p>
      <w:pPr>
        <w:jc w:val="center"/>
        <w:spacing w:after="0"/>
        <w:rPr>
          <w:sz w:val="28"/>
          <w:szCs w:val="28"/>
          <w:lang w:eastAsia="ru-RU"/>
        </w:rPr>
      </w:pPr>
      <w:r>
        <w:rPr>
          <w:sz w:val="28"/>
          <w:szCs w:val="28"/>
          <w:lang w:eastAsia="ru-RU"/>
        </w:rPr>
      </w:r>
      <w:r>
        <w:rPr>
          <w:sz w:val="28"/>
          <w:szCs w:val="28"/>
          <w:lang w:eastAsia="ru-RU"/>
        </w:rPr>
      </w:r>
      <w:r>
        <w:rPr>
          <w:sz w:val="28"/>
          <w:szCs w:val="28"/>
          <w:lang w:eastAsia="ru-RU"/>
        </w:rPr>
      </w:r>
    </w:p>
    <w:p>
      <w:pPr>
        <w:pStyle w:val="884"/>
        <w:jc w:val="center"/>
        <w:rPr>
          <w:sz w:val="28"/>
          <w:szCs w:val="28"/>
        </w:rPr>
      </w:pPr>
      <w:r>
        <w:rPr>
          <w:sz w:val="28"/>
          <w:szCs w:val="28"/>
        </w:rPr>
      </w:r>
      <w:r>
        <w:rPr>
          <w:sz w:val="28"/>
          <w:szCs w:val="28"/>
        </w:rPr>
      </w:r>
      <w:r>
        <w:rPr>
          <w:sz w:val="28"/>
          <w:szCs w:val="28"/>
        </w:rPr>
      </w:r>
    </w:p>
    <w:p>
      <w:pPr>
        <w:pStyle w:val="884"/>
        <w:jc w:val="center"/>
        <w:rPr>
          <w:sz w:val="28"/>
          <w:szCs w:val="28"/>
        </w:rPr>
      </w:pPr>
      <w:r>
        <w:rPr>
          <w:sz w:val="28"/>
          <w:szCs w:val="28"/>
        </w:rPr>
      </w:r>
      <w:r>
        <w:rPr>
          <w:sz w:val="28"/>
          <w:szCs w:val="28"/>
        </w:rPr>
      </w:r>
      <w:r>
        <w:rPr>
          <w:sz w:val="28"/>
          <w:szCs w:val="28"/>
        </w:rPr>
      </w:r>
    </w:p>
    <w:p>
      <w:pPr>
        <w:pStyle w:val="884"/>
        <w:jc w:val="center"/>
        <w:rPr>
          <w:sz w:val="28"/>
          <w:szCs w:val="28"/>
        </w:rPr>
      </w:pPr>
      <w:r>
        <w:rPr>
          <w:sz w:val="28"/>
          <w:szCs w:val="28"/>
        </w:rPr>
      </w:r>
      <w:r>
        <w:rPr>
          <w:sz w:val="28"/>
          <w:szCs w:val="28"/>
        </w:rPr>
      </w:r>
      <w:r>
        <w:rPr>
          <w:sz w:val="28"/>
          <w:szCs w:val="28"/>
        </w:rPr>
      </w:r>
    </w:p>
    <w:p>
      <w:pPr>
        <w:pStyle w:val="884"/>
        <w:jc w:val="center"/>
        <w:rPr>
          <w:sz w:val="28"/>
          <w:szCs w:val="28"/>
        </w:rPr>
      </w:pPr>
      <w:r>
        <w:rPr>
          <w:sz w:val="28"/>
          <w:szCs w:val="28"/>
        </w:rPr>
      </w:r>
      <w:r>
        <w:rPr>
          <w:sz w:val="28"/>
          <w:szCs w:val="28"/>
        </w:rPr>
      </w:r>
      <w:r>
        <w:rPr>
          <w:sz w:val="28"/>
          <w:szCs w:val="28"/>
        </w:rPr>
      </w:r>
    </w:p>
    <w:p>
      <w:pPr>
        <w:pStyle w:val="884"/>
        <w:jc w:val="center"/>
        <w:rPr>
          <w:sz w:val="28"/>
          <w:szCs w:val="28"/>
        </w:rPr>
      </w:pPr>
      <w:r>
        <w:rPr>
          <w:sz w:val="28"/>
          <w:szCs w:val="28"/>
        </w:rPr>
      </w:r>
      <w:r>
        <w:rPr>
          <w:sz w:val="28"/>
          <w:szCs w:val="28"/>
        </w:rPr>
      </w:r>
      <w:r>
        <w:rPr>
          <w:sz w:val="28"/>
          <w:szCs w:val="28"/>
        </w:rPr>
      </w:r>
    </w:p>
    <w:p>
      <w:pPr>
        <w:pStyle w:val="884"/>
        <w:jc w:val="center"/>
        <w:rPr>
          <w:b/>
          <w:sz w:val="28"/>
          <w:szCs w:val="28"/>
        </w:rPr>
      </w:pPr>
      <w:r>
        <w:rPr>
          <w:b/>
          <w:sz w:val="28"/>
          <w:szCs w:val="28"/>
        </w:rPr>
        <w:t xml:space="preserve">Итоговый отчёт о результатах деятельности </w:t>
      </w:r>
      <w:r>
        <w:rPr>
          <w:b/>
          <w:sz w:val="28"/>
          <w:szCs w:val="28"/>
        </w:rPr>
        <w:br/>
        <w:t xml:space="preserve">Управления Федерального казначейства </w:t>
      </w:r>
      <w:r>
        <w:rPr>
          <w:b/>
          <w:sz w:val="28"/>
          <w:szCs w:val="28"/>
        </w:rPr>
        <w:br/>
        <w:t xml:space="preserve">по Челябинской области</w:t>
      </w:r>
      <w:r>
        <w:rPr>
          <w:b/>
          <w:sz w:val="28"/>
          <w:szCs w:val="28"/>
        </w:rPr>
      </w:r>
      <w:r>
        <w:rPr>
          <w:b/>
          <w:sz w:val="28"/>
          <w:szCs w:val="28"/>
        </w:rPr>
      </w:r>
    </w:p>
    <w:p>
      <w:pPr>
        <w:jc w:val="center"/>
        <w:spacing w:after="0" w:line="240" w:lineRule="auto"/>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за 202</w:t>
      </w:r>
      <w:r>
        <w:rPr>
          <w:rFonts w:ascii="Times New Roman" w:hAnsi="Times New Roman" w:cs="Times New Roman"/>
          <w:b/>
          <w:sz w:val="28"/>
          <w:szCs w:val="28"/>
          <w:lang w:eastAsia="ru-RU"/>
        </w:rPr>
        <w:t xml:space="preserve">5</w:t>
      </w:r>
      <w:r>
        <w:rPr>
          <w:rFonts w:ascii="Times New Roman" w:hAnsi="Times New Roman" w:cs="Times New Roman"/>
          <w:b/>
          <w:sz w:val="28"/>
          <w:szCs w:val="28"/>
          <w:lang w:eastAsia="ru-RU"/>
        </w:rPr>
        <w:t xml:space="preserve"> год</w:t>
      </w:r>
      <w:r>
        <w:rPr>
          <w:rFonts w:ascii="Times New Roman" w:hAnsi="Times New Roman" w:cs="Times New Roman"/>
          <w:b/>
          <w:sz w:val="28"/>
          <w:szCs w:val="28"/>
          <w:lang w:eastAsia="ru-RU"/>
        </w:rPr>
      </w:r>
      <w:r>
        <w:rPr>
          <w:rFonts w:ascii="Times New Roman" w:hAnsi="Times New Roman" w:cs="Times New Roman"/>
          <w:b/>
          <w:sz w:val="28"/>
          <w:szCs w:val="28"/>
          <w:lang w:eastAsia="ru-RU"/>
        </w:rPr>
      </w:r>
    </w:p>
    <w:p>
      <w:pPr>
        <w:pStyle w:val="884"/>
        <w:jc w:val="center"/>
        <w:rPr>
          <w:b/>
          <w:sz w:val="28"/>
          <w:szCs w:val="28"/>
        </w:rPr>
      </w:pPr>
      <w:r>
        <w:rPr>
          <w:b/>
          <w:sz w:val="28"/>
          <w:szCs w:val="28"/>
        </w:rPr>
      </w:r>
      <w:r>
        <w:rPr>
          <w:b/>
          <w:sz w:val="28"/>
          <w:szCs w:val="28"/>
        </w:rPr>
      </w:r>
      <w:r>
        <w:rPr>
          <w:b/>
          <w:sz w:val="28"/>
          <w:szCs w:val="28"/>
        </w:rPr>
      </w:r>
    </w:p>
    <w:p>
      <w:pPr>
        <w:pStyle w:val="884"/>
        <w:jc w:val="center"/>
        <w:rPr>
          <w:sz w:val="28"/>
          <w:szCs w:val="28"/>
        </w:rPr>
      </w:pPr>
      <w:r>
        <w:rPr>
          <w:sz w:val="28"/>
          <w:szCs w:val="28"/>
        </w:rPr>
      </w:r>
      <w:r>
        <w:rPr>
          <w:sz w:val="28"/>
          <w:szCs w:val="28"/>
        </w:rPr>
      </w:r>
      <w:r>
        <w:rPr>
          <w:sz w:val="28"/>
          <w:szCs w:val="28"/>
        </w:rPr>
      </w:r>
    </w:p>
    <w:p>
      <w:pPr>
        <w:pStyle w:val="884"/>
        <w:jc w:val="center"/>
        <w:rPr>
          <w:sz w:val="28"/>
          <w:szCs w:val="28"/>
        </w:rPr>
      </w:pPr>
      <w:r>
        <w:rPr>
          <w:sz w:val="28"/>
          <w:szCs w:val="28"/>
        </w:rPr>
      </w:r>
      <w:r>
        <w:rPr>
          <w:sz w:val="28"/>
          <w:szCs w:val="28"/>
        </w:rPr>
      </w:r>
      <w:r>
        <w:rPr>
          <w:sz w:val="28"/>
          <w:szCs w:val="28"/>
        </w:rPr>
      </w:r>
    </w:p>
    <w:p>
      <w:pPr>
        <w:pStyle w:val="884"/>
        <w:jc w:val="center"/>
        <w:rPr>
          <w:sz w:val="28"/>
          <w:szCs w:val="28"/>
        </w:rPr>
      </w:pPr>
      <w:r>
        <w:rPr>
          <w:sz w:val="28"/>
          <w:szCs w:val="28"/>
        </w:rPr>
      </w:r>
      <w:r>
        <w:rPr>
          <w:sz w:val="28"/>
          <w:szCs w:val="28"/>
        </w:rPr>
      </w:r>
      <w:r>
        <w:rPr>
          <w:sz w:val="28"/>
          <w:szCs w:val="28"/>
        </w:rPr>
      </w:r>
    </w:p>
    <w:p>
      <w:pPr>
        <w:pStyle w:val="884"/>
        <w:jc w:val="center"/>
        <w:rPr>
          <w:sz w:val="28"/>
          <w:szCs w:val="28"/>
        </w:rPr>
      </w:pPr>
      <w:r>
        <w:rPr>
          <w:sz w:val="28"/>
          <w:szCs w:val="28"/>
        </w:rPr>
      </w:r>
      <w:r>
        <w:rPr>
          <w:sz w:val="28"/>
          <w:szCs w:val="28"/>
        </w:rPr>
      </w:r>
      <w:r>
        <w:rPr>
          <w:sz w:val="28"/>
          <w:szCs w:val="28"/>
        </w:rPr>
      </w:r>
    </w:p>
    <w:p>
      <w:pPr>
        <w:pStyle w:val="884"/>
        <w:jc w:val="center"/>
        <w:rPr>
          <w:sz w:val="28"/>
          <w:szCs w:val="28"/>
        </w:rPr>
      </w:pPr>
      <w:r>
        <w:rPr>
          <w:sz w:val="28"/>
          <w:szCs w:val="28"/>
        </w:rPr>
      </w:r>
      <w:r>
        <w:rPr>
          <w:sz w:val="28"/>
          <w:szCs w:val="28"/>
        </w:rPr>
      </w:r>
      <w:r>
        <w:rPr>
          <w:sz w:val="28"/>
          <w:szCs w:val="28"/>
        </w:rPr>
      </w:r>
    </w:p>
    <w:p>
      <w:pPr>
        <w:pStyle w:val="884"/>
        <w:jc w:val="center"/>
        <w:rPr>
          <w:sz w:val="28"/>
          <w:szCs w:val="28"/>
        </w:rPr>
      </w:pPr>
      <w:r>
        <w:rPr>
          <w:sz w:val="28"/>
          <w:szCs w:val="28"/>
        </w:rPr>
      </w:r>
      <w:r>
        <w:rPr>
          <w:sz w:val="28"/>
          <w:szCs w:val="28"/>
        </w:rPr>
      </w:r>
      <w:r>
        <w:rPr>
          <w:sz w:val="28"/>
          <w:szCs w:val="28"/>
        </w:rPr>
      </w:r>
    </w:p>
    <w:p>
      <w:pPr>
        <w:pStyle w:val="884"/>
        <w:jc w:val="center"/>
        <w:rPr>
          <w:sz w:val="28"/>
          <w:szCs w:val="28"/>
        </w:rPr>
      </w:pPr>
      <w:r>
        <w:rPr>
          <w:sz w:val="28"/>
          <w:szCs w:val="28"/>
        </w:rPr>
      </w:r>
      <w:r>
        <w:rPr>
          <w:sz w:val="28"/>
          <w:szCs w:val="28"/>
        </w:rPr>
      </w:r>
      <w:r>
        <w:rPr>
          <w:sz w:val="28"/>
          <w:szCs w:val="28"/>
        </w:rPr>
      </w:r>
    </w:p>
    <w:p>
      <w:pPr>
        <w:pStyle w:val="884"/>
        <w:jc w:val="center"/>
        <w:rPr>
          <w:sz w:val="28"/>
          <w:szCs w:val="28"/>
        </w:rPr>
      </w:pPr>
      <w:r>
        <w:rPr>
          <w:sz w:val="28"/>
          <w:szCs w:val="28"/>
        </w:rPr>
      </w:r>
      <w:r>
        <w:rPr>
          <w:sz w:val="28"/>
          <w:szCs w:val="28"/>
        </w:rPr>
      </w:r>
      <w:r>
        <w:rPr>
          <w:sz w:val="28"/>
          <w:szCs w:val="28"/>
        </w:rPr>
      </w:r>
    </w:p>
    <w:p>
      <w:pPr>
        <w:pStyle w:val="884"/>
        <w:jc w:val="center"/>
        <w:rPr>
          <w:sz w:val="28"/>
          <w:szCs w:val="28"/>
        </w:rPr>
      </w:pPr>
      <w:r>
        <w:rPr>
          <w:sz w:val="28"/>
          <w:szCs w:val="28"/>
        </w:rPr>
      </w:r>
      <w:r>
        <w:rPr>
          <w:sz w:val="28"/>
          <w:szCs w:val="28"/>
        </w:rPr>
      </w:r>
      <w:r>
        <w:rPr>
          <w:sz w:val="28"/>
          <w:szCs w:val="28"/>
        </w:rPr>
      </w:r>
    </w:p>
    <w:p>
      <w:pPr>
        <w:pStyle w:val="884"/>
        <w:jc w:val="center"/>
        <w:rPr>
          <w:sz w:val="28"/>
          <w:szCs w:val="28"/>
        </w:rPr>
      </w:pPr>
      <w:r>
        <w:rPr>
          <w:sz w:val="28"/>
          <w:szCs w:val="28"/>
        </w:rPr>
      </w:r>
      <w:r>
        <w:rPr>
          <w:sz w:val="28"/>
          <w:szCs w:val="28"/>
        </w:rPr>
      </w:r>
      <w:r>
        <w:rPr>
          <w:sz w:val="28"/>
          <w:szCs w:val="28"/>
        </w:rPr>
      </w:r>
    </w:p>
    <w:p>
      <w:pPr>
        <w:jc w:val="center"/>
        <w:spacing w:after="0" w:line="240" w:lineRule="auto"/>
        <w:rPr>
          <w:rFonts w:ascii="Times New Roman" w:hAnsi="Times New Roman" w:cs="Times New Roman"/>
          <w:sz w:val="28"/>
          <w:szCs w:val="28"/>
          <w:lang w:eastAsia="ru-RU"/>
        </w:rPr>
      </w:pPr>
      <w:r>
        <w:rPr>
          <w:rFonts w:ascii="Times New Roman" w:hAnsi="Times New Roman" w:cs="Times New Roman"/>
          <w:sz w:val="28"/>
          <w:szCs w:val="28"/>
          <w:lang w:eastAsia="ru-RU"/>
        </w:rPr>
      </w:r>
      <w:r>
        <w:rPr>
          <w:rFonts w:ascii="Times New Roman" w:hAnsi="Times New Roman" w:cs="Times New Roman"/>
          <w:sz w:val="28"/>
          <w:szCs w:val="28"/>
          <w:lang w:eastAsia="ru-RU"/>
        </w:rPr>
      </w:r>
      <w:r>
        <w:rPr>
          <w:rFonts w:ascii="Times New Roman" w:hAnsi="Times New Roman" w:cs="Times New Roman"/>
          <w:sz w:val="28"/>
          <w:szCs w:val="28"/>
          <w:lang w:eastAsia="ru-RU"/>
        </w:rPr>
      </w:r>
    </w:p>
    <w:p>
      <w:pPr>
        <w:jc w:val="center"/>
        <w:spacing w:after="0" w:line="240" w:lineRule="auto"/>
        <w:rPr>
          <w:rFonts w:ascii="Times New Roman" w:hAnsi="Times New Roman" w:cs="Times New Roman"/>
          <w:sz w:val="28"/>
          <w:szCs w:val="28"/>
          <w:lang w:eastAsia="ru-RU"/>
        </w:rPr>
      </w:pPr>
      <w:r>
        <w:rPr>
          <w:rFonts w:ascii="Times New Roman" w:hAnsi="Times New Roman" w:cs="Times New Roman"/>
          <w:sz w:val="28"/>
          <w:szCs w:val="28"/>
          <w:lang w:eastAsia="ru-RU"/>
        </w:rPr>
      </w:r>
      <w:r>
        <w:rPr>
          <w:rFonts w:ascii="Times New Roman" w:hAnsi="Times New Roman" w:cs="Times New Roman"/>
          <w:sz w:val="28"/>
          <w:szCs w:val="28"/>
          <w:lang w:eastAsia="ru-RU"/>
        </w:rPr>
      </w:r>
      <w:r>
        <w:rPr>
          <w:rFonts w:ascii="Times New Roman" w:hAnsi="Times New Roman" w:cs="Times New Roman"/>
          <w:sz w:val="28"/>
          <w:szCs w:val="28"/>
          <w:lang w:eastAsia="ru-RU"/>
        </w:rPr>
      </w:r>
    </w:p>
    <w:p>
      <w:pPr>
        <w:jc w:val="center"/>
        <w:spacing w:after="0" w:line="240" w:lineRule="auto"/>
        <w:rPr>
          <w:rFonts w:ascii="Times New Roman" w:hAnsi="Times New Roman" w:cs="Times New Roman"/>
          <w:sz w:val="28"/>
          <w:szCs w:val="28"/>
          <w:lang w:eastAsia="ru-RU"/>
        </w:rPr>
      </w:pPr>
      <w:r>
        <w:rPr>
          <w:rFonts w:ascii="Times New Roman" w:hAnsi="Times New Roman" w:cs="Times New Roman"/>
          <w:sz w:val="28"/>
          <w:szCs w:val="28"/>
          <w:lang w:eastAsia="ru-RU"/>
        </w:rPr>
      </w:r>
      <w:r>
        <w:rPr>
          <w:rFonts w:ascii="Times New Roman" w:hAnsi="Times New Roman" w:cs="Times New Roman"/>
          <w:sz w:val="28"/>
          <w:szCs w:val="28"/>
          <w:lang w:eastAsia="ru-RU"/>
        </w:rPr>
      </w:r>
      <w:r>
        <w:rPr>
          <w:rFonts w:ascii="Times New Roman" w:hAnsi="Times New Roman" w:cs="Times New Roman"/>
          <w:sz w:val="28"/>
          <w:szCs w:val="28"/>
          <w:lang w:eastAsia="ru-RU"/>
        </w:rPr>
      </w:r>
    </w:p>
    <w:p>
      <w:pPr>
        <w:jc w:val="center"/>
        <w:spacing w:after="0" w:line="240" w:lineRule="auto"/>
        <w:rPr>
          <w:rFonts w:ascii="Times New Roman" w:hAnsi="Times New Roman" w:cs="Times New Roman"/>
          <w:sz w:val="28"/>
          <w:szCs w:val="28"/>
          <w:lang w:eastAsia="ru-RU"/>
        </w:rPr>
      </w:pPr>
      <w:r>
        <w:rPr>
          <w:rFonts w:ascii="Times New Roman" w:hAnsi="Times New Roman" w:cs="Times New Roman"/>
          <w:sz w:val="28"/>
          <w:szCs w:val="28"/>
          <w:lang w:eastAsia="ru-RU"/>
        </w:rPr>
      </w:r>
      <w:r>
        <w:rPr>
          <w:rFonts w:ascii="Times New Roman" w:hAnsi="Times New Roman" w:cs="Times New Roman"/>
          <w:sz w:val="28"/>
          <w:szCs w:val="28"/>
          <w:lang w:eastAsia="ru-RU"/>
        </w:rPr>
      </w:r>
      <w:r>
        <w:rPr>
          <w:rFonts w:ascii="Times New Roman" w:hAnsi="Times New Roman" w:cs="Times New Roman"/>
          <w:sz w:val="28"/>
          <w:szCs w:val="28"/>
          <w:lang w:eastAsia="ru-RU"/>
        </w:rPr>
      </w:r>
    </w:p>
    <w:p>
      <w:pPr>
        <w:jc w:val="center"/>
        <w:spacing w:after="0" w:line="240" w:lineRule="auto"/>
        <w:rPr>
          <w:rFonts w:ascii="Times New Roman" w:hAnsi="Times New Roman" w:cs="Times New Roman"/>
          <w:sz w:val="28"/>
          <w:szCs w:val="28"/>
          <w:lang w:eastAsia="ru-RU"/>
        </w:rPr>
      </w:pPr>
      <w:r>
        <w:rPr>
          <w:rFonts w:ascii="Times New Roman" w:hAnsi="Times New Roman" w:cs="Times New Roman"/>
          <w:sz w:val="28"/>
          <w:szCs w:val="28"/>
          <w:lang w:eastAsia="ru-RU"/>
        </w:rPr>
      </w:r>
      <w:r>
        <w:rPr>
          <w:rFonts w:ascii="Times New Roman" w:hAnsi="Times New Roman" w:cs="Times New Roman"/>
          <w:sz w:val="28"/>
          <w:szCs w:val="28"/>
          <w:lang w:eastAsia="ru-RU"/>
        </w:rPr>
      </w:r>
      <w:r>
        <w:rPr>
          <w:rFonts w:ascii="Times New Roman" w:hAnsi="Times New Roman" w:cs="Times New Roman"/>
          <w:sz w:val="28"/>
          <w:szCs w:val="28"/>
          <w:lang w:eastAsia="ru-RU"/>
        </w:rPr>
      </w:r>
    </w:p>
    <w:p>
      <w:pPr>
        <w:jc w:val="center"/>
        <w:spacing w:after="0" w:line="240" w:lineRule="auto"/>
        <w:rPr>
          <w:rFonts w:ascii="Times New Roman" w:hAnsi="Times New Roman" w:cs="Times New Roman"/>
          <w:sz w:val="28"/>
          <w:szCs w:val="28"/>
          <w:lang w:eastAsia="ru-RU"/>
        </w:rPr>
      </w:pPr>
      <w:r>
        <w:rPr>
          <w:rFonts w:ascii="Times New Roman" w:hAnsi="Times New Roman" w:cs="Times New Roman"/>
          <w:sz w:val="28"/>
          <w:szCs w:val="28"/>
          <w:lang w:eastAsia="ru-RU"/>
        </w:rPr>
      </w:r>
      <w:r>
        <w:rPr>
          <w:rFonts w:ascii="Times New Roman" w:hAnsi="Times New Roman" w:cs="Times New Roman"/>
          <w:sz w:val="28"/>
          <w:szCs w:val="28"/>
          <w:lang w:eastAsia="ru-RU"/>
        </w:rPr>
      </w:r>
      <w:r>
        <w:rPr>
          <w:rFonts w:ascii="Times New Roman" w:hAnsi="Times New Roman" w:cs="Times New Roman"/>
          <w:sz w:val="28"/>
          <w:szCs w:val="28"/>
          <w:lang w:eastAsia="ru-RU"/>
        </w:rPr>
      </w:r>
    </w:p>
    <w:p>
      <w:pPr>
        <w:jc w:val="center"/>
        <w:spacing w:after="0" w:line="240" w:lineRule="auto"/>
        <w:rPr>
          <w:rFonts w:ascii="Times New Roman" w:hAnsi="Times New Roman" w:cs="Times New Roman"/>
          <w:sz w:val="28"/>
          <w:szCs w:val="28"/>
          <w:lang w:eastAsia="ru-RU"/>
        </w:rPr>
      </w:pPr>
      <w:r>
        <w:rPr>
          <w:rFonts w:ascii="Times New Roman" w:hAnsi="Times New Roman" w:cs="Times New Roman"/>
          <w:sz w:val="28"/>
          <w:szCs w:val="28"/>
          <w:lang w:eastAsia="ru-RU"/>
        </w:rPr>
      </w:r>
      <w:r>
        <w:rPr>
          <w:rFonts w:ascii="Times New Roman" w:hAnsi="Times New Roman" w:cs="Times New Roman"/>
          <w:sz w:val="28"/>
          <w:szCs w:val="28"/>
          <w:lang w:eastAsia="ru-RU"/>
        </w:rPr>
      </w:r>
      <w:r>
        <w:rPr>
          <w:rFonts w:ascii="Times New Roman" w:hAnsi="Times New Roman" w:cs="Times New Roman"/>
          <w:sz w:val="28"/>
          <w:szCs w:val="28"/>
          <w:lang w:eastAsia="ru-RU"/>
        </w:rPr>
      </w:r>
    </w:p>
    <w:p>
      <w:pPr>
        <w:jc w:val="center"/>
        <w:spacing w:after="0" w:line="240" w:lineRule="auto"/>
        <w:rPr>
          <w:rFonts w:ascii="Times New Roman" w:hAnsi="Times New Roman" w:cs="Times New Roman"/>
          <w:sz w:val="28"/>
          <w:szCs w:val="28"/>
          <w:lang w:eastAsia="ru-RU"/>
        </w:rPr>
      </w:pPr>
      <w:r>
        <w:rPr>
          <w:rFonts w:ascii="Times New Roman" w:hAnsi="Times New Roman" w:cs="Times New Roman"/>
          <w:sz w:val="28"/>
          <w:szCs w:val="28"/>
          <w:lang w:eastAsia="ru-RU"/>
        </w:rPr>
      </w:r>
      <w:r>
        <w:rPr>
          <w:rFonts w:ascii="Times New Roman" w:hAnsi="Times New Roman" w:cs="Times New Roman"/>
          <w:sz w:val="28"/>
          <w:szCs w:val="28"/>
          <w:lang w:eastAsia="ru-RU"/>
        </w:rPr>
      </w:r>
      <w:r>
        <w:rPr>
          <w:rFonts w:ascii="Times New Roman" w:hAnsi="Times New Roman" w:cs="Times New Roman"/>
          <w:sz w:val="28"/>
          <w:szCs w:val="28"/>
          <w:lang w:eastAsia="ru-RU"/>
        </w:rPr>
      </w:r>
    </w:p>
    <w:p>
      <w:pPr>
        <w:jc w:val="center"/>
        <w:spacing w:after="0" w:line="240" w:lineRule="auto"/>
        <w:rPr>
          <w:rFonts w:ascii="Times New Roman" w:hAnsi="Times New Roman" w:cs="Times New Roman"/>
          <w:sz w:val="28"/>
          <w:szCs w:val="28"/>
          <w:lang w:eastAsia="ru-RU"/>
        </w:rPr>
      </w:pPr>
      <w:r>
        <w:rPr>
          <w:rFonts w:ascii="Times New Roman" w:hAnsi="Times New Roman" w:cs="Times New Roman"/>
          <w:sz w:val="28"/>
          <w:szCs w:val="28"/>
          <w:lang w:eastAsia="ru-RU"/>
        </w:rPr>
      </w:r>
      <w:r>
        <w:rPr>
          <w:rFonts w:ascii="Times New Roman" w:hAnsi="Times New Roman" w:cs="Times New Roman"/>
          <w:sz w:val="28"/>
          <w:szCs w:val="28"/>
          <w:lang w:eastAsia="ru-RU"/>
        </w:rPr>
      </w:r>
      <w:r>
        <w:rPr>
          <w:rFonts w:ascii="Times New Roman" w:hAnsi="Times New Roman" w:cs="Times New Roman"/>
          <w:sz w:val="28"/>
          <w:szCs w:val="28"/>
          <w:lang w:eastAsia="ru-RU"/>
        </w:rPr>
      </w:r>
    </w:p>
    <w:p>
      <w:pPr>
        <w:jc w:val="center"/>
        <w:spacing w:after="0" w:line="240" w:lineRule="auto"/>
        <w:rPr>
          <w:rFonts w:ascii="Times New Roman" w:hAnsi="Times New Roman" w:cs="Times New Roman"/>
          <w:sz w:val="28"/>
          <w:szCs w:val="28"/>
          <w:lang w:eastAsia="ru-RU"/>
        </w:rPr>
      </w:pPr>
      <w:r>
        <w:rPr>
          <w:rFonts w:ascii="Times New Roman" w:hAnsi="Times New Roman" w:cs="Times New Roman"/>
          <w:sz w:val="28"/>
          <w:szCs w:val="28"/>
          <w:lang w:eastAsia="ru-RU"/>
        </w:rPr>
      </w:r>
      <w:r>
        <w:rPr>
          <w:rFonts w:ascii="Times New Roman" w:hAnsi="Times New Roman" w:cs="Times New Roman"/>
          <w:sz w:val="28"/>
          <w:szCs w:val="28"/>
          <w:lang w:eastAsia="ru-RU"/>
        </w:rPr>
      </w:r>
      <w:r>
        <w:rPr>
          <w:rFonts w:ascii="Times New Roman" w:hAnsi="Times New Roman" w:cs="Times New Roman"/>
          <w:sz w:val="28"/>
          <w:szCs w:val="28"/>
          <w:lang w:eastAsia="ru-RU"/>
        </w:rPr>
      </w:r>
    </w:p>
    <w:p>
      <w:pPr>
        <w:pStyle w:val="884"/>
        <w:jc w:val="center"/>
        <w:rPr>
          <w:sz w:val="28"/>
          <w:szCs w:val="28"/>
        </w:rPr>
      </w:pPr>
      <w:r>
        <w:rPr>
          <w:sz w:val="28"/>
          <w:szCs w:val="28"/>
        </w:rPr>
        <w:t xml:space="preserve">Челябинск</w:t>
      </w:r>
      <w:r>
        <w:rPr>
          <w:sz w:val="28"/>
          <w:szCs w:val="28"/>
        </w:rPr>
      </w:r>
      <w:r>
        <w:rPr>
          <w:sz w:val="28"/>
          <w:szCs w:val="28"/>
        </w:rPr>
      </w:r>
    </w:p>
    <w:p>
      <w:pPr>
        <w:pStyle w:val="884"/>
        <w:jc w:val="center"/>
        <w:rPr>
          <w:sz w:val="28"/>
          <w:szCs w:val="28"/>
        </w:rPr>
      </w:pPr>
      <w:r>
        <w:rPr>
          <w:sz w:val="28"/>
          <w:szCs w:val="28"/>
        </w:rPr>
        <w:t xml:space="preserve">202</w:t>
      </w:r>
      <w:r>
        <w:rPr>
          <w:sz w:val="28"/>
          <w:szCs w:val="28"/>
        </w:rPr>
        <w:t xml:space="preserve">6</w:t>
      </w:r>
      <w:r>
        <w:rPr>
          <w:sz w:val="28"/>
          <w:szCs w:val="28"/>
        </w:rPr>
        <w:t xml:space="preserve"> год</w:t>
      </w:r>
      <w:r>
        <w:rPr>
          <w:sz w:val="28"/>
          <w:szCs w:val="28"/>
        </w:rPr>
      </w:r>
      <w:r>
        <w:rPr>
          <w:sz w:val="28"/>
          <w:szCs w:val="28"/>
        </w:rPr>
      </w:r>
    </w:p>
    <w:p>
      <w:pPr>
        <w:jc w:val="both"/>
        <w:spacing w:after="0"/>
        <w:rPr>
          <w:rFonts w:ascii="Times New Roman" w:hAnsi="Times New Roman" w:cs="Times New Roman"/>
          <w:sz w:val="28"/>
          <w:szCs w:val="28"/>
        </w:rPr>
      </w:pPr>
      <w:r>
        <w:rPr>
          <w:rFonts w:ascii="Times New Roman" w:hAnsi="Times New Roman" w:cs="Times New Roman"/>
          <w:sz w:val="28"/>
          <w:szCs w:val="28"/>
        </w:rPr>
        <w:br w:type="page" w:clear="all"/>
      </w:r>
      <w:r>
        <w:rPr>
          <w:rFonts w:ascii="Times New Roman" w:hAnsi="Times New Roman" w:cs="Times New Roman"/>
          <w:sz w:val="28"/>
          <w:szCs w:val="28"/>
        </w:rPr>
      </w:r>
      <w:r>
        <w:rPr>
          <w:rFonts w:ascii="Times New Roman" w:hAnsi="Times New Roman" w:cs="Times New Roman"/>
          <w:sz w:val="28"/>
          <w:szCs w:val="28"/>
        </w:rPr>
      </w:r>
    </w:p>
    <w:sdt>
      <w:sdtPr>
        <w15:appearance w15:val="boundingBox"/>
        <w:id w:val="-1303373281"/>
        <w:docPartObj>
          <w:docPartGallery w:val="Table of Contents"/>
          <w:docPartUnique w:val="true"/>
        </w:docPartObj>
        <w:rPr>
          <w:rFonts w:ascii="Times New Roman" w:hAnsi="Times New Roman" w:cs="Times New Roman" w:eastAsiaTheme="minorHAnsi"/>
          <w:color w:val="auto"/>
          <w:sz w:val="28"/>
          <w:szCs w:val="28"/>
          <w:lang w:eastAsia="en-US"/>
        </w:rPr>
      </w:sdtPr>
      <w:sdtContent>
        <w:p>
          <w:pPr>
            <w:pStyle w:val="899"/>
            <w:jc w:val="center"/>
            <w:spacing w:before="0"/>
            <w:rPr>
              <w:rFonts w:ascii="Times New Roman" w:hAnsi="Times New Roman" w:cs="Times New Roman"/>
              <w:b/>
              <w:color w:val="auto"/>
              <w:sz w:val="28"/>
              <w:szCs w:val="28"/>
            </w:rPr>
          </w:pPr>
          <w:r>
            <w:rPr>
              <w:rFonts w:ascii="Times New Roman" w:hAnsi="Times New Roman" w:cs="Times New Roman"/>
              <w:b/>
              <w:color w:val="auto"/>
              <w:sz w:val="28"/>
              <w:szCs w:val="28"/>
            </w:rPr>
            <w:t xml:space="preserve">Оглавление</w:t>
          </w:r>
          <w:r>
            <w:rPr>
              <w:rFonts w:ascii="Times New Roman" w:hAnsi="Times New Roman" w:cs="Times New Roman"/>
              <w:b/>
              <w:color w:val="auto"/>
              <w:sz w:val="28"/>
              <w:szCs w:val="28"/>
            </w:rPr>
          </w:r>
          <w:r>
            <w:rPr>
              <w:rFonts w:ascii="Times New Roman" w:hAnsi="Times New Roman" w:cs="Times New Roman"/>
              <w:b/>
              <w:color w:val="auto"/>
              <w:sz w:val="28"/>
              <w:szCs w:val="28"/>
            </w:rPr>
          </w:r>
        </w:p>
        <w:p>
          <w:pPr>
            <w:pStyle w:val="884"/>
            <w:tabs>
              <w:tab w:val="right" w:pos="9781" w:leader="dot"/>
            </w:tabs>
            <w:rPr>
              <w:rFonts w:ascii="Times New Roman" w:hAnsi="Times New Roman" w:cs="Times New Roman"/>
              <w:b w:val="0"/>
              <w:bCs w:val="0"/>
              <w:sz w:val="28"/>
              <w:szCs w:val="28"/>
            </w:rPr>
          </w:pPr>
          <w:r>
            <w:rPr>
              <w:b w:val="0"/>
              <w:bCs w:val="0"/>
              <w:sz w:val="28"/>
              <w:szCs w:val="28"/>
            </w:rPr>
            <w:fldChar w:fldCharType="begin"/>
          </w:r>
          <w:r>
            <w:rPr>
              <w:b w:val="0"/>
              <w:bCs w:val="0"/>
              <w:sz w:val="28"/>
              <w:szCs w:val="28"/>
            </w:rPr>
            <w:instrText xml:space="preserve"> TOC \o "1-3" \h \z \u </w:instrText>
          </w:r>
          <w:r>
            <w:rPr>
              <w:b w:val="0"/>
              <w:bCs w:val="0"/>
              <w:sz w:val="28"/>
              <w:szCs w:val="28"/>
            </w:rPr>
            <w:fldChar w:fldCharType="separate"/>
          </w:r>
          <w:r>
            <w:rPr>
              <w:b w:val="0"/>
              <w:bCs w:val="0"/>
              <w:sz w:val="28"/>
              <w:szCs w:val="28"/>
            </w:rPr>
          </w:r>
          <w:hyperlink w:tooltip="#_Toc1" w:anchor="_Toc1" w:history="1">
            <w:r>
              <w:rPr>
                <w:rStyle w:val="902"/>
                <w:sz w:val="28"/>
                <w:szCs w:val="28"/>
              </w:rPr>
            </w:r>
            <w:r>
              <w:rPr>
                <w:rStyle w:val="902"/>
                <w:rFonts w:ascii="Times New Roman" w:hAnsi="Times New Roman" w:cs="Times New Roman"/>
                <w:b w:val="0"/>
                <w:bCs w:val="0"/>
                <w:sz w:val="28"/>
                <w:szCs w:val="28"/>
                <w:lang w:val="en-US"/>
              </w:rPr>
              <w:t xml:space="preserve">I</w:t>
            </w:r>
            <w:r>
              <w:rPr>
                <w:rStyle w:val="902"/>
                <w:rFonts w:ascii="Times New Roman" w:hAnsi="Times New Roman" w:cs="Times New Roman"/>
                <w:b w:val="0"/>
                <w:bCs w:val="0"/>
                <w:sz w:val="28"/>
                <w:szCs w:val="28"/>
              </w:rPr>
              <w:t xml:space="preserve">.</w:t>
            </w:r>
            <w:r>
              <w:rPr>
                <w:rStyle w:val="902"/>
                <w:rFonts w:ascii="Times New Roman" w:hAnsi="Times New Roman" w:cs="Times New Roman"/>
                <w:b w:val="0"/>
                <w:bCs w:val="0"/>
                <w:sz w:val="28"/>
                <w:szCs w:val="28"/>
                <w:lang w:val="en-US"/>
              </w:rPr>
              <w:t xml:space="preserve"> </w:t>
            </w:r>
            <w:r>
              <w:rPr>
                <w:rStyle w:val="902"/>
                <w:rFonts w:ascii="Times New Roman" w:hAnsi="Times New Roman" w:cs="Times New Roman"/>
                <w:b w:val="0"/>
                <w:bCs w:val="0"/>
                <w:sz w:val="28"/>
                <w:szCs w:val="28"/>
              </w:rPr>
              <w:t xml:space="preserve">Общая информация об Управлении Федерального казначейства </w:t>
            </w:r>
            <w:r>
              <w:rPr>
                <w:rStyle w:val="902"/>
                <w:rFonts w:ascii="Times New Roman" w:hAnsi="Times New Roman" w:cs="Times New Roman"/>
                <w:b w:val="0"/>
                <w:bCs w:val="0"/>
                <w:sz w:val="28"/>
                <w:szCs w:val="28"/>
              </w:rPr>
              <w:t xml:space="preserve"> по Челябинской области</w:t>
            </w:r>
            <w:r>
              <w:rPr>
                <w:rStyle w:val="902"/>
                <w:rFonts w:ascii="Times New Roman" w:hAnsi="Times New Roman" w:cs="Times New Roman"/>
                <w:b w:val="0"/>
                <w:bCs w:val="0"/>
                <w:sz w:val="28"/>
                <w:szCs w:val="28"/>
              </w:rPr>
            </w:r>
            <w:r>
              <w:rPr>
                <w:b w:val="0"/>
                <w:bCs w:val="0"/>
                <w:sz w:val="28"/>
                <w:szCs w:val="28"/>
              </w:rPr>
              <w:tab/>
            </w:r>
            <w:r>
              <w:rPr>
                <w:b w:val="0"/>
                <w:bCs w:val="0"/>
                <w:sz w:val="28"/>
                <w:szCs w:val="28"/>
              </w:rPr>
              <w:fldChar w:fldCharType="begin"/>
              <w:instrText xml:space="preserve">PAGEREF _Toc1 \h</w:instrText>
              <w:fldChar w:fldCharType="separate"/>
              <w:t xml:space="preserve">4</w:t>
              <w:fldChar w:fldCharType="end"/>
            </w:r>
          </w:hyperlink>
          <w:r>
            <w:rPr>
              <w:rFonts w:ascii="Times New Roman" w:hAnsi="Times New Roman" w:cs="Times New Roman"/>
              <w:b w:val="0"/>
              <w:bCs w:val="0"/>
              <w:sz w:val="28"/>
              <w:szCs w:val="28"/>
            </w:rPr>
          </w:r>
          <w:r>
            <w:rPr>
              <w:rFonts w:ascii="Times New Roman" w:hAnsi="Times New Roman" w:cs="Times New Roman"/>
              <w:b w:val="0"/>
              <w:bCs w:val="0"/>
              <w:sz w:val="28"/>
              <w:szCs w:val="28"/>
            </w:rPr>
          </w:r>
        </w:p>
        <w:p>
          <w:pPr>
            <w:pStyle w:val="884"/>
            <w:tabs>
              <w:tab w:val="right" w:pos="9781" w:leader="dot"/>
            </w:tabs>
            <w:rPr>
              <w:rFonts w:ascii="Times New Roman" w:hAnsi="Times New Roman" w:cs="Times New Roman"/>
              <w:b w:val="0"/>
              <w:bCs w:val="0"/>
              <w:sz w:val="28"/>
              <w:szCs w:val="28"/>
            </w:rPr>
          </w:pPr>
          <w:r/>
          <w:hyperlink w:tooltip="#_Toc2" w:anchor="_Toc2" w:history="1">
            <w:r>
              <w:rPr>
                <w:rStyle w:val="902"/>
                <w:sz w:val="28"/>
                <w:szCs w:val="28"/>
              </w:rPr>
            </w:r>
            <w:r>
              <w:rPr>
                <w:rStyle w:val="902"/>
                <w:rFonts w:ascii="Times New Roman" w:hAnsi="Times New Roman" w:cs="Times New Roman"/>
                <w:b w:val="0"/>
                <w:bCs w:val="0"/>
                <w:sz w:val="28"/>
                <w:szCs w:val="28"/>
                <w:lang w:val="en-US"/>
              </w:rPr>
              <w:t xml:space="preserve">II</w:t>
            </w:r>
            <w:r>
              <w:rPr>
                <w:rStyle w:val="902"/>
                <w:rFonts w:ascii="Times New Roman" w:hAnsi="Times New Roman" w:cs="Times New Roman"/>
                <w:b w:val="0"/>
                <w:bCs w:val="0"/>
                <w:sz w:val="28"/>
                <w:szCs w:val="28"/>
              </w:rPr>
              <w:t xml:space="preserve">. Исполнение функций транзакционной системы Федерального казначейства</w:t>
            </w:r>
            <w:r>
              <w:rPr>
                <w:rStyle w:val="902"/>
                <w:rFonts w:ascii="Times New Roman" w:hAnsi="Times New Roman" w:cs="Times New Roman"/>
                <w:b w:val="0"/>
                <w:bCs w:val="0"/>
                <w:sz w:val="28"/>
                <w:szCs w:val="28"/>
              </w:rPr>
            </w:r>
            <w:r>
              <w:rPr>
                <w:b w:val="0"/>
                <w:bCs w:val="0"/>
                <w:sz w:val="28"/>
                <w:szCs w:val="28"/>
              </w:rPr>
              <w:tab/>
            </w:r>
            <w:r>
              <w:rPr>
                <w:b w:val="0"/>
                <w:bCs w:val="0"/>
                <w:sz w:val="28"/>
                <w:szCs w:val="28"/>
              </w:rPr>
              <w:fldChar w:fldCharType="begin"/>
              <w:instrText xml:space="preserve">PAGEREF _Toc2 \h</w:instrText>
              <w:fldChar w:fldCharType="separate"/>
              <w:t xml:space="preserve">5</w:t>
              <w:fldChar w:fldCharType="end"/>
            </w:r>
          </w:hyperlink>
          <w:r>
            <w:rPr>
              <w:rFonts w:ascii="Times New Roman" w:hAnsi="Times New Roman" w:cs="Times New Roman"/>
              <w:b w:val="0"/>
              <w:bCs w:val="0"/>
              <w:sz w:val="28"/>
              <w:szCs w:val="28"/>
            </w:rPr>
          </w:r>
          <w:r>
            <w:rPr>
              <w:rFonts w:ascii="Times New Roman" w:hAnsi="Times New Roman" w:cs="Times New Roman"/>
              <w:b w:val="0"/>
              <w:bCs w:val="0"/>
              <w:sz w:val="28"/>
              <w:szCs w:val="28"/>
            </w:rPr>
          </w:r>
        </w:p>
        <w:p>
          <w:pPr>
            <w:pStyle w:val="884"/>
            <w:tabs>
              <w:tab w:val="right" w:pos="9781" w:leader="dot"/>
            </w:tabs>
            <w:rPr>
              <w:rFonts w:ascii="Times New Roman" w:hAnsi="Times New Roman" w:cs="Times New Roman"/>
              <w:b w:val="0"/>
              <w:bCs w:val="0"/>
              <w:sz w:val="28"/>
              <w:szCs w:val="28"/>
            </w:rPr>
          </w:pPr>
          <w:r/>
          <w:hyperlink w:tooltip="#_Toc3" w:anchor="_Toc3" w:history="1">
            <w:r>
              <w:rPr>
                <w:rStyle w:val="902"/>
                <w:sz w:val="28"/>
                <w:szCs w:val="28"/>
              </w:rPr>
            </w:r>
            <w:r>
              <w:rPr>
                <w:rStyle w:val="902"/>
                <w:rFonts w:ascii="Times New Roman" w:hAnsi="Times New Roman" w:cs="Times New Roman"/>
                <w:b w:val="0"/>
                <w:bCs w:val="0"/>
                <w:sz w:val="28"/>
                <w:szCs w:val="28"/>
              </w:rPr>
              <w:t xml:space="preserve">2.1. Казначейское обслуживание исполнения бюджетов бюджетной системы Российской Федерации.</w:t>
            </w:r>
            <w:r>
              <w:rPr>
                <w:rStyle w:val="902"/>
                <w:rFonts w:ascii="Times New Roman" w:hAnsi="Times New Roman" w:cs="Times New Roman"/>
                <w:b w:val="0"/>
                <w:bCs w:val="0"/>
                <w:sz w:val="28"/>
                <w:szCs w:val="28"/>
              </w:rPr>
            </w:r>
            <w:r>
              <w:rPr>
                <w:b w:val="0"/>
                <w:bCs w:val="0"/>
                <w:sz w:val="28"/>
                <w:szCs w:val="28"/>
              </w:rPr>
              <w:tab/>
            </w:r>
            <w:r>
              <w:rPr>
                <w:b w:val="0"/>
                <w:bCs w:val="0"/>
                <w:sz w:val="28"/>
                <w:szCs w:val="28"/>
              </w:rPr>
              <w:fldChar w:fldCharType="begin"/>
              <w:instrText xml:space="preserve">PAGEREF _Toc3 \h</w:instrText>
              <w:fldChar w:fldCharType="separate"/>
              <w:t xml:space="preserve">5</w:t>
              <w:fldChar w:fldCharType="end"/>
            </w:r>
          </w:hyperlink>
          <w:r>
            <w:rPr>
              <w:rFonts w:ascii="Times New Roman" w:hAnsi="Times New Roman" w:cs="Times New Roman"/>
              <w:b w:val="0"/>
              <w:bCs w:val="0"/>
              <w:sz w:val="28"/>
              <w:szCs w:val="28"/>
            </w:rPr>
          </w:r>
          <w:r>
            <w:rPr>
              <w:rFonts w:ascii="Times New Roman" w:hAnsi="Times New Roman" w:cs="Times New Roman"/>
              <w:b w:val="0"/>
              <w:bCs w:val="0"/>
              <w:sz w:val="28"/>
              <w:szCs w:val="28"/>
            </w:rPr>
          </w:r>
        </w:p>
        <w:p>
          <w:pPr>
            <w:pStyle w:val="884"/>
            <w:tabs>
              <w:tab w:val="right" w:pos="9781" w:leader="dot"/>
            </w:tabs>
            <w:rPr>
              <w:rFonts w:ascii="Times New Roman" w:hAnsi="Times New Roman" w:cs="Times New Roman"/>
              <w:b w:val="0"/>
              <w:bCs w:val="0"/>
              <w:sz w:val="28"/>
              <w:szCs w:val="28"/>
            </w:rPr>
          </w:pPr>
          <w:r/>
          <w:hyperlink w:tooltip="#_Toc4" w:anchor="_Toc4" w:history="1">
            <w:r>
              <w:rPr>
                <w:rStyle w:val="902"/>
                <w:sz w:val="28"/>
                <w:szCs w:val="28"/>
              </w:rPr>
            </w:r>
            <w:r>
              <w:rPr>
                <w:rStyle w:val="902"/>
                <w:rFonts w:ascii="Times New Roman" w:hAnsi="Times New Roman" w:cs="Times New Roman"/>
                <w:b w:val="0"/>
                <w:bCs w:val="0"/>
                <w:sz w:val="28"/>
                <w:szCs w:val="28"/>
              </w:rPr>
              <w:t xml:space="preserve">2.2. Предоставление бюджетных кредитов на пополнение остатков средств на едином счете </w:t>
            </w:r>
            <w:r>
              <w:rPr>
                <w:rStyle w:val="902"/>
                <w:rFonts w:ascii="Times New Roman" w:hAnsi="Times New Roman" w:cs="Times New Roman"/>
                <w:b w:val="0"/>
                <w:bCs w:val="0"/>
                <w:sz w:val="28"/>
                <w:szCs w:val="28"/>
              </w:rPr>
              <w:t xml:space="preserve">бюджета</w:t>
            </w:r>
            <w:r>
              <w:rPr>
                <w:rStyle w:val="902"/>
                <w:rFonts w:ascii="Times New Roman" w:hAnsi="Times New Roman" w:cs="Times New Roman"/>
                <w:b w:val="0"/>
                <w:bCs w:val="0"/>
                <w:sz w:val="28"/>
                <w:szCs w:val="28"/>
              </w:rPr>
            </w:r>
            <w:r>
              <w:rPr>
                <w:b w:val="0"/>
                <w:bCs w:val="0"/>
                <w:sz w:val="28"/>
                <w:szCs w:val="28"/>
              </w:rPr>
              <w:tab/>
            </w:r>
            <w:r>
              <w:rPr>
                <w:b w:val="0"/>
                <w:bCs w:val="0"/>
                <w:sz w:val="28"/>
                <w:szCs w:val="28"/>
              </w:rPr>
              <w:fldChar w:fldCharType="begin"/>
              <w:instrText xml:space="preserve">PAGEREF _Toc4 \h</w:instrText>
              <w:fldChar w:fldCharType="separate"/>
              <w:t xml:space="preserve">8</w:t>
              <w:fldChar w:fldCharType="end"/>
            </w:r>
          </w:hyperlink>
          <w:r>
            <w:rPr>
              <w:rFonts w:ascii="Times New Roman" w:hAnsi="Times New Roman" w:cs="Times New Roman"/>
              <w:b w:val="0"/>
              <w:bCs w:val="0"/>
              <w:sz w:val="28"/>
              <w:szCs w:val="28"/>
            </w:rPr>
          </w:r>
          <w:r>
            <w:rPr>
              <w:rFonts w:ascii="Times New Roman" w:hAnsi="Times New Roman" w:cs="Times New Roman"/>
              <w:b w:val="0"/>
              <w:bCs w:val="0"/>
              <w:sz w:val="28"/>
              <w:szCs w:val="28"/>
            </w:rPr>
          </w:r>
        </w:p>
        <w:p>
          <w:pPr>
            <w:pStyle w:val="884"/>
            <w:tabs>
              <w:tab w:val="right" w:pos="9781" w:leader="dot"/>
            </w:tabs>
            <w:rPr>
              <w:rFonts w:ascii="Times New Roman" w:hAnsi="Times New Roman" w:cs="Times New Roman"/>
              <w:b w:val="0"/>
              <w:bCs w:val="0"/>
              <w:sz w:val="28"/>
              <w:szCs w:val="28"/>
            </w:rPr>
          </w:pPr>
          <w:r/>
          <w:hyperlink w:tooltip="#_Toc5" w:anchor="_Toc5" w:history="1">
            <w:r>
              <w:rPr>
                <w:rStyle w:val="902"/>
                <w:sz w:val="28"/>
                <w:szCs w:val="28"/>
              </w:rPr>
            </w:r>
            <w:r>
              <w:rPr>
                <w:rStyle w:val="902"/>
                <w:rFonts w:ascii="Times New Roman" w:hAnsi="Times New Roman" w:cs="Times New Roman"/>
                <w:b w:val="0"/>
                <w:bCs w:val="0"/>
                <w:sz w:val="28"/>
                <w:szCs w:val="28"/>
              </w:rPr>
              <w:t xml:space="preserve">2.3</w:t>
            </w:r>
            <w:r>
              <w:rPr>
                <w:rStyle w:val="902"/>
                <w:rFonts w:ascii="Times New Roman" w:hAnsi="Times New Roman" w:cs="Times New Roman"/>
                <w:b w:val="0"/>
                <w:bCs w:val="0"/>
                <w:sz w:val="28"/>
                <w:szCs w:val="28"/>
              </w:rPr>
              <w:t xml:space="preserve">. Осуществление учета поступлений в бюджетную систему Российской Федерации и их распределение между бюджетами</w:t>
            </w:r>
            <w:r>
              <w:rPr>
                <w:rStyle w:val="902"/>
                <w:rFonts w:ascii="Times New Roman" w:hAnsi="Times New Roman" w:cs="Times New Roman"/>
                <w:b w:val="0"/>
                <w:bCs w:val="0"/>
                <w:sz w:val="28"/>
                <w:szCs w:val="28"/>
              </w:rPr>
            </w:r>
            <w:r>
              <w:rPr>
                <w:b w:val="0"/>
                <w:bCs w:val="0"/>
                <w:sz w:val="28"/>
                <w:szCs w:val="28"/>
              </w:rPr>
              <w:tab/>
            </w:r>
            <w:r>
              <w:rPr>
                <w:b w:val="0"/>
                <w:bCs w:val="0"/>
                <w:sz w:val="28"/>
                <w:szCs w:val="28"/>
              </w:rPr>
              <w:fldChar w:fldCharType="begin"/>
              <w:instrText xml:space="preserve">PAGEREF _Toc5 \h</w:instrText>
              <w:fldChar w:fldCharType="separate"/>
              <w:t xml:space="preserve">8</w:t>
              <w:fldChar w:fldCharType="end"/>
            </w:r>
          </w:hyperlink>
          <w:r>
            <w:rPr>
              <w:rFonts w:ascii="Times New Roman" w:hAnsi="Times New Roman" w:cs="Times New Roman"/>
              <w:b w:val="0"/>
              <w:bCs w:val="0"/>
              <w:sz w:val="28"/>
              <w:szCs w:val="28"/>
            </w:rPr>
          </w:r>
          <w:r>
            <w:rPr>
              <w:rFonts w:ascii="Times New Roman" w:hAnsi="Times New Roman" w:cs="Times New Roman"/>
              <w:b w:val="0"/>
              <w:bCs w:val="0"/>
              <w:sz w:val="28"/>
              <w:szCs w:val="28"/>
            </w:rPr>
          </w:r>
        </w:p>
        <w:p>
          <w:pPr>
            <w:pStyle w:val="884"/>
            <w:tabs>
              <w:tab w:val="right" w:pos="9781" w:leader="dot"/>
            </w:tabs>
            <w:rPr>
              <w:rFonts w:ascii="Times New Roman" w:hAnsi="Times New Roman" w:cs="Times New Roman"/>
              <w:b w:val="0"/>
              <w:bCs w:val="0"/>
              <w:sz w:val="28"/>
              <w:szCs w:val="28"/>
            </w:rPr>
          </w:pPr>
          <w:r/>
          <w:hyperlink w:tooltip="#_Toc6" w:anchor="_Toc6" w:history="1">
            <w:r>
              <w:rPr>
                <w:rStyle w:val="902"/>
                <w:sz w:val="28"/>
                <w:szCs w:val="28"/>
              </w:rPr>
            </w:r>
            <w:r>
              <w:rPr>
                <w:rStyle w:val="902"/>
                <w:rFonts w:ascii="Times New Roman" w:hAnsi="Times New Roman" w:cs="Times New Roman"/>
                <w:b w:val="0"/>
                <w:bCs w:val="0"/>
                <w:sz w:val="28"/>
                <w:szCs w:val="28"/>
              </w:rPr>
              <w:t xml:space="preserve">2.4</w:t>
            </w:r>
            <w:r>
              <w:rPr>
                <w:rStyle w:val="902"/>
                <w:rFonts w:ascii="Times New Roman" w:hAnsi="Times New Roman" w:cs="Times New Roman"/>
                <w:b w:val="0"/>
                <w:bCs w:val="0"/>
                <w:sz w:val="28"/>
                <w:szCs w:val="28"/>
              </w:rPr>
              <w:t xml:space="preserve">. Казначейское сопровождение бюджетных средств</w:t>
            </w:r>
            <w:r>
              <w:rPr>
                <w:rStyle w:val="902"/>
                <w:rFonts w:ascii="Times New Roman" w:hAnsi="Times New Roman" w:cs="Times New Roman"/>
                <w:b w:val="0"/>
                <w:bCs w:val="0"/>
                <w:sz w:val="28"/>
                <w:szCs w:val="28"/>
              </w:rPr>
            </w:r>
            <w:r>
              <w:rPr>
                <w:b w:val="0"/>
                <w:bCs w:val="0"/>
                <w:sz w:val="28"/>
                <w:szCs w:val="28"/>
              </w:rPr>
              <w:tab/>
            </w:r>
            <w:r>
              <w:rPr>
                <w:b w:val="0"/>
                <w:bCs w:val="0"/>
                <w:sz w:val="28"/>
                <w:szCs w:val="28"/>
              </w:rPr>
              <w:fldChar w:fldCharType="begin"/>
              <w:instrText xml:space="preserve">PAGEREF _Toc6 \h</w:instrText>
              <w:fldChar w:fldCharType="separate"/>
              <w:t xml:space="preserve">9</w:t>
              <w:fldChar w:fldCharType="end"/>
            </w:r>
          </w:hyperlink>
          <w:r>
            <w:rPr>
              <w:rFonts w:ascii="Times New Roman" w:hAnsi="Times New Roman" w:cs="Times New Roman"/>
              <w:b w:val="0"/>
              <w:bCs w:val="0"/>
              <w:sz w:val="28"/>
              <w:szCs w:val="28"/>
            </w:rPr>
          </w:r>
          <w:r>
            <w:rPr>
              <w:rFonts w:ascii="Times New Roman" w:hAnsi="Times New Roman" w:cs="Times New Roman"/>
              <w:b w:val="0"/>
              <w:bCs w:val="0"/>
              <w:sz w:val="28"/>
              <w:szCs w:val="28"/>
            </w:rPr>
          </w:r>
        </w:p>
        <w:p>
          <w:pPr>
            <w:pStyle w:val="884"/>
            <w:tabs>
              <w:tab w:val="right" w:pos="9781" w:leader="dot"/>
            </w:tabs>
            <w:rPr>
              <w:rFonts w:ascii="Times New Roman" w:hAnsi="Times New Roman" w:cs="Times New Roman"/>
              <w:b w:val="0"/>
              <w:bCs w:val="0"/>
              <w:sz w:val="28"/>
              <w:szCs w:val="28"/>
            </w:rPr>
          </w:pPr>
          <w:r/>
          <w:hyperlink w:tooltip="#_Toc7" w:anchor="_Toc7" w:history="1">
            <w:r>
              <w:rPr>
                <w:rStyle w:val="902"/>
                <w:sz w:val="28"/>
                <w:szCs w:val="28"/>
              </w:rPr>
            </w:r>
            <w:r>
              <w:rPr>
                <w:rStyle w:val="902"/>
                <w:rFonts w:ascii="Times New Roman" w:hAnsi="Times New Roman" w:cs="Times New Roman"/>
                <w:b w:val="0"/>
                <w:bCs w:val="0"/>
                <w:sz w:val="28"/>
                <w:szCs w:val="28"/>
              </w:rPr>
              <w:t xml:space="preserve">2.5</w:t>
            </w:r>
            <w:r>
              <w:rPr>
                <w:rStyle w:val="902"/>
                <w:rFonts w:ascii="Times New Roman" w:hAnsi="Times New Roman" w:cs="Times New Roman"/>
                <w:b w:val="0"/>
                <w:bCs w:val="0"/>
                <w:sz w:val="28"/>
                <w:szCs w:val="28"/>
              </w:rPr>
              <w:t xml:space="preserve">. Предварительный контроль, осуществляемый в процессе исполнения бюджетов по доходам и расходам</w:t>
            </w:r>
            <w:r>
              <w:rPr>
                <w:rStyle w:val="902"/>
                <w:rFonts w:ascii="Times New Roman" w:hAnsi="Times New Roman" w:cs="Times New Roman"/>
                <w:b w:val="0"/>
                <w:bCs w:val="0"/>
                <w:sz w:val="28"/>
                <w:szCs w:val="28"/>
              </w:rPr>
            </w:r>
            <w:r>
              <w:rPr>
                <w:b w:val="0"/>
                <w:bCs w:val="0"/>
                <w:sz w:val="28"/>
                <w:szCs w:val="28"/>
              </w:rPr>
              <w:tab/>
            </w:r>
            <w:r>
              <w:rPr>
                <w:b w:val="0"/>
                <w:bCs w:val="0"/>
                <w:sz w:val="28"/>
                <w:szCs w:val="28"/>
              </w:rPr>
              <w:fldChar w:fldCharType="begin"/>
              <w:instrText xml:space="preserve">PAGEREF _Toc7 \h</w:instrText>
              <w:fldChar w:fldCharType="separate"/>
              <w:t xml:space="preserve">11</w:t>
              <w:fldChar w:fldCharType="end"/>
            </w:r>
          </w:hyperlink>
          <w:r>
            <w:rPr>
              <w:rFonts w:ascii="Times New Roman" w:hAnsi="Times New Roman" w:cs="Times New Roman"/>
              <w:b w:val="0"/>
              <w:bCs w:val="0"/>
              <w:sz w:val="28"/>
              <w:szCs w:val="28"/>
            </w:rPr>
          </w:r>
          <w:r>
            <w:rPr>
              <w:rFonts w:ascii="Times New Roman" w:hAnsi="Times New Roman" w:cs="Times New Roman"/>
              <w:b w:val="0"/>
              <w:bCs w:val="0"/>
              <w:sz w:val="28"/>
              <w:szCs w:val="28"/>
            </w:rPr>
          </w:r>
        </w:p>
        <w:p>
          <w:pPr>
            <w:pStyle w:val="884"/>
            <w:tabs>
              <w:tab w:val="right" w:pos="9781" w:leader="dot"/>
            </w:tabs>
            <w:rPr>
              <w:rFonts w:ascii="Times New Roman" w:hAnsi="Times New Roman" w:cs="Times New Roman"/>
              <w:b w:val="0"/>
              <w:bCs w:val="0"/>
              <w:sz w:val="28"/>
              <w:szCs w:val="28"/>
            </w:rPr>
          </w:pPr>
          <w:r/>
          <w:hyperlink w:tooltip="#_Toc8" w:anchor="_Toc8" w:history="1">
            <w:r>
              <w:rPr>
                <w:rStyle w:val="902"/>
                <w:sz w:val="28"/>
                <w:szCs w:val="28"/>
              </w:rPr>
            </w:r>
            <w:r>
              <w:rPr>
                <w:rStyle w:val="902"/>
                <w:rFonts w:ascii="Times New Roman" w:hAnsi="Times New Roman" w:cs="Times New Roman"/>
                <w:b w:val="0"/>
                <w:bCs w:val="0"/>
                <w:sz w:val="28"/>
                <w:szCs w:val="28"/>
                <w:lang w:val="en-US"/>
              </w:rPr>
              <w:t xml:space="preserve">III</w:t>
            </w:r>
            <w:r>
              <w:rPr>
                <w:rStyle w:val="902"/>
                <w:rFonts w:ascii="Times New Roman" w:hAnsi="Times New Roman" w:cs="Times New Roman"/>
                <w:b w:val="0"/>
                <w:bCs w:val="0"/>
                <w:sz w:val="28"/>
                <w:szCs w:val="28"/>
              </w:rPr>
              <w:t xml:space="preserve">. Исполнение функций учетной системы Федерального казначейства</w:t>
            </w:r>
            <w:r>
              <w:rPr>
                <w:rStyle w:val="902"/>
                <w:rFonts w:ascii="Times New Roman" w:hAnsi="Times New Roman" w:cs="Times New Roman"/>
                <w:b w:val="0"/>
                <w:bCs w:val="0"/>
                <w:sz w:val="28"/>
                <w:szCs w:val="28"/>
              </w:rPr>
            </w:r>
            <w:r>
              <w:rPr>
                <w:b w:val="0"/>
                <w:bCs w:val="0"/>
                <w:sz w:val="28"/>
                <w:szCs w:val="28"/>
              </w:rPr>
              <w:tab/>
            </w:r>
            <w:r>
              <w:rPr>
                <w:b w:val="0"/>
                <w:bCs w:val="0"/>
                <w:sz w:val="28"/>
                <w:szCs w:val="28"/>
              </w:rPr>
              <w:fldChar w:fldCharType="begin"/>
              <w:instrText xml:space="preserve">PAGEREF _Toc8 \h</w:instrText>
              <w:fldChar w:fldCharType="separate"/>
              <w:t xml:space="preserve">11</w:t>
              <w:fldChar w:fldCharType="end"/>
            </w:r>
          </w:hyperlink>
          <w:r>
            <w:rPr>
              <w:rFonts w:ascii="Times New Roman" w:hAnsi="Times New Roman" w:cs="Times New Roman"/>
              <w:b w:val="0"/>
              <w:bCs w:val="0"/>
              <w:sz w:val="28"/>
              <w:szCs w:val="28"/>
            </w:rPr>
          </w:r>
          <w:r>
            <w:rPr>
              <w:rFonts w:ascii="Times New Roman" w:hAnsi="Times New Roman" w:cs="Times New Roman"/>
              <w:b w:val="0"/>
              <w:bCs w:val="0"/>
              <w:sz w:val="28"/>
              <w:szCs w:val="28"/>
            </w:rPr>
          </w:r>
        </w:p>
        <w:p>
          <w:pPr>
            <w:pStyle w:val="884"/>
            <w:tabs>
              <w:tab w:val="right" w:pos="9781" w:leader="dot"/>
            </w:tabs>
            <w:rPr>
              <w:rFonts w:ascii="Times New Roman" w:hAnsi="Times New Roman" w:cs="Times New Roman"/>
              <w:b w:val="0"/>
              <w:bCs w:val="0"/>
              <w:sz w:val="28"/>
              <w:szCs w:val="28"/>
            </w:rPr>
          </w:pPr>
          <w:r/>
          <w:hyperlink w:tooltip="#_Toc9" w:anchor="_Toc9" w:history="1">
            <w:r>
              <w:rPr>
                <w:rStyle w:val="902"/>
                <w:sz w:val="28"/>
                <w:szCs w:val="28"/>
              </w:rPr>
            </w:r>
            <w:r>
              <w:rPr>
                <w:rStyle w:val="902"/>
                <w:rFonts w:ascii="Times New Roman" w:hAnsi="Times New Roman" w:cs="Times New Roman"/>
                <w:b w:val="0"/>
                <w:bCs w:val="0"/>
                <w:sz w:val="28"/>
                <w:szCs w:val="28"/>
              </w:rPr>
              <w:t xml:space="preserve">3.1. Составление и представление в установленном порядке бюджетной отчетности и отчетности по операциям системы казначейских платежей</w:t>
            </w:r>
            <w:r>
              <w:rPr>
                <w:rStyle w:val="902"/>
                <w:rFonts w:ascii="Times New Roman" w:hAnsi="Times New Roman" w:cs="Times New Roman"/>
                <w:b w:val="0"/>
                <w:bCs w:val="0"/>
                <w:sz w:val="28"/>
                <w:szCs w:val="28"/>
              </w:rPr>
            </w:r>
            <w:r>
              <w:rPr>
                <w:b w:val="0"/>
                <w:bCs w:val="0"/>
                <w:sz w:val="28"/>
                <w:szCs w:val="28"/>
              </w:rPr>
              <w:tab/>
            </w:r>
            <w:r>
              <w:rPr>
                <w:b w:val="0"/>
                <w:bCs w:val="0"/>
                <w:sz w:val="28"/>
                <w:szCs w:val="28"/>
              </w:rPr>
              <w:fldChar w:fldCharType="begin"/>
              <w:instrText xml:space="preserve">PAGEREF _Toc9 \h</w:instrText>
              <w:fldChar w:fldCharType="separate"/>
              <w:t xml:space="preserve">11</w:t>
              <w:fldChar w:fldCharType="end"/>
            </w:r>
          </w:hyperlink>
          <w:r>
            <w:rPr>
              <w:rFonts w:ascii="Times New Roman" w:hAnsi="Times New Roman" w:cs="Times New Roman"/>
              <w:b w:val="0"/>
              <w:bCs w:val="0"/>
              <w:sz w:val="28"/>
              <w:szCs w:val="28"/>
            </w:rPr>
          </w:r>
          <w:r>
            <w:rPr>
              <w:rFonts w:ascii="Times New Roman" w:hAnsi="Times New Roman" w:cs="Times New Roman"/>
              <w:b w:val="0"/>
              <w:bCs w:val="0"/>
              <w:sz w:val="28"/>
              <w:szCs w:val="28"/>
            </w:rPr>
          </w:r>
        </w:p>
        <w:p>
          <w:pPr>
            <w:pStyle w:val="884"/>
            <w:tabs>
              <w:tab w:val="right" w:pos="9781" w:leader="dot"/>
            </w:tabs>
            <w:rPr>
              <w:rFonts w:ascii="Times New Roman" w:hAnsi="Times New Roman" w:cs="Times New Roman"/>
              <w:b w:val="0"/>
              <w:bCs w:val="0"/>
              <w:sz w:val="28"/>
              <w:szCs w:val="28"/>
            </w:rPr>
          </w:pPr>
          <w:r/>
          <w:hyperlink w:tooltip="#_Toc10" w:anchor="_Toc10" w:history="1">
            <w:r>
              <w:rPr>
                <w:rStyle w:val="902"/>
                <w:sz w:val="28"/>
                <w:szCs w:val="28"/>
              </w:rPr>
            </w:r>
            <w:r>
              <w:rPr>
                <w:rStyle w:val="902"/>
                <w:rFonts w:ascii="Times New Roman" w:hAnsi="Times New Roman" w:cs="Times New Roman"/>
                <w:b w:val="0"/>
                <w:bCs w:val="0"/>
                <w:sz w:val="28"/>
                <w:szCs w:val="28"/>
              </w:rPr>
              <w:t xml:space="preserve">3.2. Проверка отчетов, представленных Министерством финансов Челябинской области в подсистему «Учет и отчетность» государственной интегрированной информационной системы управления государственными финансами «Электронный бюджет»</w:t>
            </w:r>
            <w:r>
              <w:rPr>
                <w:rStyle w:val="902"/>
                <w:rFonts w:ascii="Times New Roman" w:hAnsi="Times New Roman" w:cs="Times New Roman"/>
                <w:b w:val="0"/>
                <w:bCs w:val="0"/>
                <w:sz w:val="28"/>
                <w:szCs w:val="28"/>
              </w:rPr>
            </w:r>
            <w:r>
              <w:rPr>
                <w:b w:val="0"/>
                <w:bCs w:val="0"/>
                <w:sz w:val="28"/>
                <w:szCs w:val="28"/>
              </w:rPr>
              <w:tab/>
            </w:r>
            <w:r>
              <w:rPr>
                <w:b w:val="0"/>
                <w:bCs w:val="0"/>
                <w:sz w:val="28"/>
                <w:szCs w:val="28"/>
              </w:rPr>
              <w:fldChar w:fldCharType="begin"/>
              <w:instrText xml:space="preserve">PAGEREF _Toc10 \h</w:instrText>
              <w:fldChar w:fldCharType="separate"/>
              <w:t xml:space="preserve">12</w:t>
              <w:fldChar w:fldCharType="end"/>
            </w:r>
          </w:hyperlink>
          <w:r>
            <w:rPr>
              <w:rFonts w:ascii="Times New Roman" w:hAnsi="Times New Roman" w:cs="Times New Roman"/>
              <w:b w:val="0"/>
              <w:bCs w:val="0"/>
              <w:sz w:val="28"/>
              <w:szCs w:val="28"/>
            </w:rPr>
          </w:r>
          <w:r>
            <w:rPr>
              <w:rFonts w:ascii="Times New Roman" w:hAnsi="Times New Roman" w:cs="Times New Roman"/>
              <w:b w:val="0"/>
              <w:bCs w:val="0"/>
              <w:sz w:val="28"/>
              <w:szCs w:val="28"/>
            </w:rPr>
          </w:r>
        </w:p>
        <w:p>
          <w:pPr>
            <w:pStyle w:val="884"/>
            <w:tabs>
              <w:tab w:val="right" w:pos="9781" w:leader="dot"/>
            </w:tabs>
            <w:rPr>
              <w:rFonts w:ascii="Times New Roman" w:hAnsi="Times New Roman" w:cs="Times New Roman"/>
              <w:b w:val="0"/>
              <w:bCs w:val="0"/>
              <w:sz w:val="28"/>
              <w:szCs w:val="28"/>
            </w:rPr>
          </w:pPr>
          <w:r/>
          <w:hyperlink w:tooltip="#_Toc11" w:anchor="_Toc11" w:history="1">
            <w:r>
              <w:rPr>
                <w:rStyle w:val="902"/>
                <w:sz w:val="28"/>
                <w:szCs w:val="28"/>
              </w:rPr>
            </w:r>
            <w:r>
              <w:rPr>
                <w:rStyle w:val="902"/>
                <w:rFonts w:ascii="Times New Roman" w:hAnsi="Times New Roman" w:cs="Times New Roman"/>
                <w:b w:val="0"/>
                <w:bCs w:val="0"/>
                <w:sz w:val="28"/>
                <w:szCs w:val="28"/>
              </w:rPr>
              <w:t xml:space="preserve">3.3. Проведение сверки информации о государственных и муниципальных учреждениях, размещаемой на официальном сайте в сети «Интернет», и анализ ее результатов</w:t>
            </w:r>
            <w:r>
              <w:rPr>
                <w:rStyle w:val="902"/>
                <w:rFonts w:ascii="Times New Roman" w:hAnsi="Times New Roman" w:cs="Times New Roman"/>
                <w:b w:val="0"/>
                <w:bCs w:val="0"/>
                <w:sz w:val="28"/>
                <w:szCs w:val="28"/>
              </w:rPr>
            </w:r>
            <w:r>
              <w:rPr>
                <w:b w:val="0"/>
                <w:bCs w:val="0"/>
                <w:sz w:val="28"/>
                <w:szCs w:val="28"/>
              </w:rPr>
              <w:tab/>
            </w:r>
            <w:r>
              <w:rPr>
                <w:b w:val="0"/>
                <w:bCs w:val="0"/>
                <w:sz w:val="28"/>
                <w:szCs w:val="28"/>
              </w:rPr>
              <w:fldChar w:fldCharType="begin"/>
              <w:instrText xml:space="preserve">PAGEREF _Toc11 \h</w:instrText>
              <w:fldChar w:fldCharType="separate"/>
              <w:t xml:space="preserve">12</w:t>
              <w:fldChar w:fldCharType="end"/>
            </w:r>
          </w:hyperlink>
          <w:r>
            <w:rPr>
              <w:rFonts w:ascii="Times New Roman" w:hAnsi="Times New Roman" w:cs="Times New Roman"/>
              <w:b w:val="0"/>
              <w:bCs w:val="0"/>
              <w:sz w:val="28"/>
              <w:szCs w:val="28"/>
            </w:rPr>
          </w:r>
          <w:r>
            <w:rPr>
              <w:rFonts w:ascii="Times New Roman" w:hAnsi="Times New Roman" w:cs="Times New Roman"/>
              <w:b w:val="0"/>
              <w:bCs w:val="0"/>
              <w:sz w:val="28"/>
              <w:szCs w:val="28"/>
            </w:rPr>
          </w:r>
        </w:p>
        <w:p>
          <w:pPr>
            <w:pStyle w:val="884"/>
            <w:tabs>
              <w:tab w:val="right" w:pos="9781" w:leader="dot"/>
            </w:tabs>
            <w:rPr>
              <w:rFonts w:ascii="Times New Roman" w:hAnsi="Times New Roman" w:cs="Times New Roman"/>
              <w:b w:val="0"/>
              <w:bCs w:val="0"/>
              <w:sz w:val="28"/>
              <w:szCs w:val="28"/>
            </w:rPr>
          </w:pPr>
          <w:r/>
          <w:hyperlink w:tooltip="#_Toc12" w:anchor="_Toc12" w:history="1">
            <w:r>
              <w:rPr>
                <w:rStyle w:val="902"/>
                <w:sz w:val="28"/>
                <w:szCs w:val="28"/>
              </w:rPr>
            </w:r>
            <w:r>
              <w:rPr>
                <w:rStyle w:val="902"/>
                <w:rFonts w:ascii="Times New Roman" w:hAnsi="Times New Roman" w:cs="Times New Roman"/>
                <w:b w:val="0"/>
                <w:bCs w:val="0"/>
                <w:sz w:val="28"/>
                <w:szCs w:val="28"/>
              </w:rPr>
              <w:t xml:space="preserve">3.4. Исполнение полномочий отдельных федеральных органов исполнительной власти, их территориальных органов и подведомственных им казенных учреждений</w:t>
            </w:r>
            <w:r>
              <w:rPr>
                <w:rStyle w:val="902"/>
                <w:rFonts w:ascii="Times New Roman" w:hAnsi="Times New Roman" w:cs="Times New Roman"/>
                <w:b w:val="0"/>
                <w:bCs w:val="0"/>
                <w:sz w:val="28"/>
                <w:szCs w:val="28"/>
              </w:rPr>
            </w:r>
            <w:r>
              <w:rPr>
                <w:b w:val="0"/>
                <w:bCs w:val="0"/>
                <w:sz w:val="28"/>
                <w:szCs w:val="28"/>
              </w:rPr>
              <w:tab/>
            </w:r>
            <w:r>
              <w:rPr>
                <w:b w:val="0"/>
                <w:bCs w:val="0"/>
                <w:sz w:val="28"/>
                <w:szCs w:val="28"/>
              </w:rPr>
              <w:fldChar w:fldCharType="begin"/>
              <w:instrText xml:space="preserve">PAGEREF _Toc12 \h</w:instrText>
              <w:fldChar w:fldCharType="separate"/>
              <w:t xml:space="preserve">13</w:t>
              <w:fldChar w:fldCharType="end"/>
            </w:r>
          </w:hyperlink>
          <w:r>
            <w:rPr>
              <w:rFonts w:ascii="Times New Roman" w:hAnsi="Times New Roman" w:cs="Times New Roman"/>
              <w:b w:val="0"/>
              <w:bCs w:val="0"/>
              <w:sz w:val="28"/>
              <w:szCs w:val="28"/>
            </w:rPr>
          </w:r>
          <w:r>
            <w:rPr>
              <w:rFonts w:ascii="Times New Roman" w:hAnsi="Times New Roman" w:cs="Times New Roman"/>
              <w:b w:val="0"/>
              <w:bCs w:val="0"/>
              <w:sz w:val="28"/>
              <w:szCs w:val="28"/>
            </w:rPr>
          </w:r>
        </w:p>
        <w:p>
          <w:pPr>
            <w:pStyle w:val="884"/>
            <w:tabs>
              <w:tab w:val="right" w:pos="9781" w:leader="dot"/>
            </w:tabs>
            <w:rPr>
              <w:rFonts w:ascii="Times New Roman" w:hAnsi="Times New Roman" w:cs="Times New Roman"/>
              <w:b w:val="0"/>
              <w:bCs w:val="0"/>
              <w:sz w:val="28"/>
              <w:szCs w:val="28"/>
            </w:rPr>
          </w:pPr>
          <w:r/>
          <w:hyperlink w:tooltip="#_Toc13" w:anchor="_Toc13" w:history="1">
            <w:r>
              <w:rPr>
                <w:rStyle w:val="902"/>
                <w:sz w:val="28"/>
                <w:szCs w:val="28"/>
              </w:rPr>
            </w:r>
            <w:r>
              <w:rPr>
                <w:rStyle w:val="902"/>
                <w:rFonts w:ascii="Times New Roman" w:hAnsi="Times New Roman" w:cs="Times New Roman"/>
                <w:b w:val="0"/>
                <w:bCs w:val="0"/>
                <w:sz w:val="28"/>
                <w:szCs w:val="28"/>
              </w:rPr>
              <w:t xml:space="preserve">3.5. Исполнение </w:t>
            </w:r>
            <w:r>
              <w:rPr>
                <w:rStyle w:val="902"/>
                <w:rFonts w:ascii="Times New Roman" w:hAnsi="Times New Roman" w:cs="Times New Roman"/>
                <w:b w:val="0"/>
                <w:bCs w:val="0"/>
                <w:sz w:val="28"/>
                <w:szCs w:val="28"/>
              </w:rPr>
              <w:t xml:space="preserve">полномочий получателя средств федерального бюджета по перечислению в соотве</w:t>
            </w:r>
            <w:r>
              <w:rPr>
                <w:rStyle w:val="902"/>
                <w:rFonts w:ascii="Times New Roman" w:hAnsi="Times New Roman" w:cs="Times New Roman"/>
                <w:b w:val="0"/>
                <w:bCs w:val="0"/>
                <w:sz w:val="28"/>
                <w:szCs w:val="28"/>
              </w:rPr>
              <w:t xml:space="preserve">тствии с соглашением (законом, иным нормативным правовым актом) межбюджетных трансфертов, предоставляемых из федерального бюджета в бюджет субъекта Российской Федерации в форме субсидий, субвенций и иных межбюджетных трансфертов, имеющих целевое назначение</w:t>
            </w:r>
            <w:r>
              <w:rPr>
                <w:rStyle w:val="902"/>
                <w:rFonts w:ascii="Times New Roman" w:hAnsi="Times New Roman" w:cs="Times New Roman"/>
                <w:b w:val="0"/>
                <w:bCs w:val="0"/>
                <w:sz w:val="28"/>
                <w:szCs w:val="28"/>
              </w:rPr>
            </w:r>
            <w:r>
              <w:rPr>
                <w:b w:val="0"/>
                <w:bCs w:val="0"/>
                <w:sz w:val="28"/>
                <w:szCs w:val="28"/>
              </w:rPr>
              <w:tab/>
            </w:r>
            <w:r>
              <w:rPr>
                <w:b w:val="0"/>
                <w:bCs w:val="0"/>
                <w:sz w:val="28"/>
                <w:szCs w:val="28"/>
              </w:rPr>
              <w:fldChar w:fldCharType="begin"/>
              <w:instrText xml:space="preserve">PAGEREF _Toc13 \h</w:instrText>
              <w:fldChar w:fldCharType="separate"/>
              <w:t xml:space="preserve">15</w:t>
              <w:fldChar w:fldCharType="end"/>
            </w:r>
          </w:hyperlink>
          <w:r>
            <w:rPr>
              <w:rFonts w:ascii="Times New Roman" w:hAnsi="Times New Roman" w:cs="Times New Roman"/>
              <w:b w:val="0"/>
              <w:bCs w:val="0"/>
              <w:sz w:val="28"/>
              <w:szCs w:val="28"/>
            </w:rPr>
          </w:r>
          <w:r>
            <w:rPr>
              <w:rFonts w:ascii="Times New Roman" w:hAnsi="Times New Roman" w:cs="Times New Roman"/>
              <w:b w:val="0"/>
              <w:bCs w:val="0"/>
              <w:sz w:val="28"/>
              <w:szCs w:val="28"/>
            </w:rPr>
          </w:r>
        </w:p>
        <w:p>
          <w:pPr>
            <w:pStyle w:val="884"/>
            <w:tabs>
              <w:tab w:val="right" w:pos="9781" w:leader="dot"/>
            </w:tabs>
            <w:rPr>
              <w:rFonts w:ascii="Times New Roman" w:hAnsi="Times New Roman" w:cs="Times New Roman"/>
              <w:b w:val="0"/>
              <w:bCs w:val="0"/>
              <w:sz w:val="28"/>
              <w:szCs w:val="28"/>
            </w:rPr>
          </w:pPr>
          <w:r/>
          <w:hyperlink w:tooltip="#_Toc14" w:anchor="_Toc14" w:history="1">
            <w:r>
              <w:rPr>
                <w:rStyle w:val="902"/>
                <w:sz w:val="28"/>
                <w:szCs w:val="28"/>
              </w:rPr>
            </w:r>
            <w:r>
              <w:rPr>
                <w:rStyle w:val="902"/>
                <w:rFonts w:hint="default" w:ascii="Times New Roman" w:hAnsi="Times New Roman" w:eastAsia="Times New Roman" w:cs="Times New Roman"/>
                <w:b w:val="0"/>
                <w:bCs w:val="0"/>
                <w:sz w:val="28"/>
                <w:szCs w:val="28"/>
              </w:rPr>
              <w:t xml:space="preserve">I</w:t>
            </w:r>
            <w:r>
              <w:rPr>
                <w:rStyle w:val="902"/>
                <w:rFonts w:hint="default" w:ascii="Times New Roman" w:hAnsi="Times New Roman" w:eastAsia="Times New Roman" w:cs="Times New Roman"/>
                <w:b w:val="0"/>
                <w:bCs w:val="0"/>
                <w:sz w:val="28"/>
                <w:szCs w:val="28"/>
              </w:rPr>
              <w:t xml:space="preserve">V</w:t>
            </w:r>
            <w:r>
              <w:rPr>
                <w:rStyle w:val="902"/>
                <w:rFonts w:ascii="Times New Roman" w:hAnsi="Times New Roman" w:eastAsia="Times New Roman" w:cs="Times New Roman"/>
                <w:b w:val="0"/>
                <w:bCs w:val="0"/>
                <w:sz w:val="28"/>
                <w:szCs w:val="28"/>
              </w:rPr>
              <w:t xml:space="preserve">.</w:t>
            </w:r>
            <w:r>
              <w:rPr>
                <w:rStyle w:val="902"/>
                <w:rFonts w:ascii="Times New Roman" w:hAnsi="Times New Roman" w:cs="Times New Roman"/>
                <w:b w:val="0"/>
                <w:bCs w:val="0"/>
                <w:sz w:val="28"/>
                <w:szCs w:val="28"/>
              </w:rPr>
              <w:t xml:space="preserve"> Исполнение функций контрольной системы Федерального казначейства</w:t>
            </w:r>
            <w:r>
              <w:rPr>
                <w:rStyle w:val="902"/>
                <w:rFonts w:ascii="Times New Roman" w:hAnsi="Times New Roman" w:cs="Times New Roman"/>
                <w:b w:val="0"/>
                <w:bCs w:val="0"/>
                <w:sz w:val="28"/>
                <w:szCs w:val="28"/>
              </w:rPr>
            </w:r>
            <w:r>
              <w:rPr>
                <w:b w:val="0"/>
                <w:bCs w:val="0"/>
                <w:sz w:val="28"/>
                <w:szCs w:val="28"/>
              </w:rPr>
              <w:tab/>
            </w:r>
            <w:r>
              <w:rPr>
                <w:b w:val="0"/>
                <w:bCs w:val="0"/>
                <w:sz w:val="28"/>
                <w:szCs w:val="28"/>
              </w:rPr>
              <w:fldChar w:fldCharType="begin"/>
              <w:instrText xml:space="preserve">PAGEREF _Toc14 \h</w:instrText>
              <w:fldChar w:fldCharType="separate"/>
              <w:t xml:space="preserve">17</w:t>
              <w:fldChar w:fldCharType="end"/>
            </w:r>
          </w:hyperlink>
          <w:r>
            <w:rPr>
              <w:rFonts w:ascii="Times New Roman" w:hAnsi="Times New Roman" w:cs="Times New Roman"/>
              <w:b w:val="0"/>
              <w:bCs w:val="0"/>
              <w:sz w:val="28"/>
              <w:szCs w:val="28"/>
            </w:rPr>
          </w:r>
          <w:r>
            <w:rPr>
              <w:rFonts w:ascii="Times New Roman" w:hAnsi="Times New Roman" w:cs="Times New Roman"/>
              <w:b w:val="0"/>
              <w:bCs w:val="0"/>
              <w:sz w:val="28"/>
              <w:szCs w:val="28"/>
            </w:rPr>
          </w:r>
        </w:p>
        <w:p>
          <w:pPr>
            <w:pStyle w:val="884"/>
            <w:tabs>
              <w:tab w:val="right" w:pos="9781" w:leader="dot"/>
            </w:tabs>
            <w:rPr>
              <w:rFonts w:ascii="Times New Roman" w:hAnsi="Times New Roman" w:cs="Times New Roman"/>
              <w:b w:val="0"/>
              <w:bCs w:val="0"/>
              <w:sz w:val="28"/>
              <w:szCs w:val="28"/>
            </w:rPr>
          </w:pPr>
          <w:r/>
          <w:hyperlink w:tooltip="#_Toc15" w:anchor="_Toc15" w:history="1">
            <w:r>
              <w:rPr>
                <w:rStyle w:val="902"/>
                <w:sz w:val="28"/>
                <w:szCs w:val="28"/>
              </w:rPr>
            </w:r>
            <w:r>
              <w:rPr>
                <w:rStyle w:val="902"/>
                <w:rFonts w:ascii="Times New Roman" w:hAnsi="Times New Roman" w:cs="Times New Roman"/>
                <w:b w:val="0"/>
                <w:bCs w:val="0"/>
                <w:sz w:val="28"/>
                <w:szCs w:val="28"/>
              </w:rPr>
              <w:t xml:space="preserve">4.1. Исполнение полномочий органа внутреннего государственного финансового контроля по осуществлению контроля в финансово-бюджетной сфере</w:t>
            </w:r>
            <w:r>
              <w:rPr>
                <w:rStyle w:val="902"/>
                <w:rFonts w:ascii="Times New Roman" w:hAnsi="Times New Roman" w:cs="Times New Roman"/>
                <w:b w:val="0"/>
                <w:bCs w:val="0"/>
                <w:sz w:val="28"/>
                <w:szCs w:val="28"/>
              </w:rPr>
            </w:r>
            <w:r>
              <w:rPr>
                <w:b w:val="0"/>
                <w:bCs w:val="0"/>
                <w:sz w:val="28"/>
                <w:szCs w:val="28"/>
              </w:rPr>
              <w:tab/>
            </w:r>
            <w:r>
              <w:rPr>
                <w:b w:val="0"/>
                <w:bCs w:val="0"/>
                <w:sz w:val="28"/>
                <w:szCs w:val="28"/>
              </w:rPr>
              <w:fldChar w:fldCharType="begin"/>
              <w:instrText xml:space="preserve">PAGEREF _Toc15 \h</w:instrText>
              <w:fldChar w:fldCharType="separate"/>
              <w:t xml:space="preserve">17</w:t>
              <w:fldChar w:fldCharType="end"/>
            </w:r>
          </w:hyperlink>
          <w:r>
            <w:rPr>
              <w:rFonts w:ascii="Times New Roman" w:hAnsi="Times New Roman" w:cs="Times New Roman"/>
              <w:b w:val="0"/>
              <w:bCs w:val="0"/>
              <w:sz w:val="28"/>
              <w:szCs w:val="28"/>
            </w:rPr>
          </w:r>
          <w:r>
            <w:rPr>
              <w:rFonts w:ascii="Times New Roman" w:hAnsi="Times New Roman" w:cs="Times New Roman"/>
              <w:b w:val="0"/>
              <w:bCs w:val="0"/>
              <w:sz w:val="28"/>
              <w:szCs w:val="28"/>
            </w:rPr>
          </w:r>
        </w:p>
        <w:p>
          <w:pPr>
            <w:pStyle w:val="884"/>
            <w:tabs>
              <w:tab w:val="right" w:pos="9781" w:leader="dot"/>
            </w:tabs>
            <w:rPr>
              <w:rFonts w:ascii="Times New Roman" w:hAnsi="Times New Roman" w:cs="Times New Roman"/>
              <w:b w:val="0"/>
              <w:bCs w:val="0"/>
              <w:sz w:val="28"/>
              <w:szCs w:val="28"/>
            </w:rPr>
          </w:pPr>
          <w:r/>
          <w:hyperlink w:tooltip="#_Toc16" w:anchor="_Toc16" w:history="1">
            <w:r>
              <w:rPr>
                <w:rStyle w:val="902"/>
                <w:sz w:val="28"/>
                <w:szCs w:val="28"/>
              </w:rPr>
            </w:r>
            <w:r>
              <w:rPr>
                <w:rStyle w:val="902"/>
                <w:rFonts w:ascii="Times New Roman" w:hAnsi="Times New Roman" w:cs="Times New Roman"/>
                <w:b w:val="0"/>
                <w:bCs w:val="0"/>
                <w:sz w:val="28"/>
                <w:szCs w:val="28"/>
              </w:rPr>
              <w:t xml:space="preserve">4.2. Исполнение бюджетных полномочий органа внутре</w:t>
            </w:r>
            <w:r>
              <w:rPr>
                <w:rStyle w:val="902"/>
                <w:rFonts w:ascii="Times New Roman" w:hAnsi="Times New Roman" w:cs="Times New Roman"/>
                <w:b w:val="0"/>
                <w:bCs w:val="0"/>
                <w:sz w:val="28"/>
                <w:szCs w:val="28"/>
              </w:rPr>
              <w:t xml:space="preserve">ннего государственного финансового контроля по анализу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w:t>
            </w:r>
            <w:r>
              <w:rPr>
                <w:rStyle w:val="902"/>
                <w:rFonts w:ascii="Times New Roman" w:hAnsi="Times New Roman" w:cs="Times New Roman"/>
                <w:b w:val="0"/>
                <w:bCs w:val="0"/>
                <w:sz w:val="28"/>
                <w:szCs w:val="28"/>
              </w:rPr>
            </w:r>
            <w:r>
              <w:rPr>
                <w:b w:val="0"/>
                <w:bCs w:val="0"/>
                <w:sz w:val="28"/>
                <w:szCs w:val="28"/>
              </w:rPr>
              <w:tab/>
            </w:r>
            <w:r>
              <w:rPr>
                <w:b w:val="0"/>
                <w:bCs w:val="0"/>
                <w:sz w:val="28"/>
                <w:szCs w:val="28"/>
              </w:rPr>
              <w:fldChar w:fldCharType="begin"/>
              <w:instrText xml:space="preserve">PAGEREF _Toc16 \h</w:instrText>
              <w:fldChar w:fldCharType="separate"/>
              <w:t xml:space="preserve">19</w:t>
              <w:fldChar w:fldCharType="end"/>
            </w:r>
          </w:hyperlink>
          <w:r>
            <w:rPr>
              <w:rFonts w:ascii="Times New Roman" w:hAnsi="Times New Roman" w:cs="Times New Roman"/>
              <w:b w:val="0"/>
              <w:bCs w:val="0"/>
              <w:sz w:val="28"/>
              <w:szCs w:val="28"/>
            </w:rPr>
          </w:r>
          <w:r>
            <w:rPr>
              <w:rFonts w:ascii="Times New Roman" w:hAnsi="Times New Roman" w:cs="Times New Roman"/>
              <w:b w:val="0"/>
              <w:bCs w:val="0"/>
              <w:sz w:val="28"/>
              <w:szCs w:val="28"/>
            </w:rPr>
          </w:r>
        </w:p>
        <w:p>
          <w:pPr>
            <w:pStyle w:val="884"/>
            <w:tabs>
              <w:tab w:val="right" w:pos="9781" w:leader="dot"/>
            </w:tabs>
            <w:rPr>
              <w:rFonts w:ascii="Times New Roman" w:hAnsi="Times New Roman" w:cs="Times New Roman"/>
              <w:b w:val="0"/>
              <w:bCs w:val="0"/>
              <w:sz w:val="28"/>
              <w:szCs w:val="28"/>
            </w:rPr>
          </w:pPr>
          <w:r/>
          <w:hyperlink w:tooltip="#_Toc17" w:anchor="_Toc17" w:history="1">
            <w:r>
              <w:rPr>
                <w:rStyle w:val="902"/>
                <w:sz w:val="28"/>
                <w:szCs w:val="28"/>
              </w:rPr>
            </w:r>
            <w:r>
              <w:rPr>
                <w:rStyle w:val="902"/>
                <w:rFonts w:ascii="Times New Roman" w:hAnsi="Times New Roman" w:cs="Times New Roman"/>
                <w:b w:val="0"/>
                <w:bCs w:val="0"/>
                <w:sz w:val="28"/>
                <w:szCs w:val="28"/>
              </w:rPr>
              <w:t xml:space="preserve">4.3. Исполнение бюджетных полномочий органа внутреннего государственного финансового контроля по анализу осуществления главными администраторами бюджетных средств внутреннего финансового аудита</w:t>
            </w:r>
            <w:r>
              <w:rPr>
                <w:rStyle w:val="902"/>
                <w:rFonts w:ascii="Times New Roman" w:hAnsi="Times New Roman" w:cs="Times New Roman"/>
                <w:b w:val="0"/>
                <w:bCs w:val="0"/>
                <w:sz w:val="28"/>
                <w:szCs w:val="28"/>
              </w:rPr>
            </w:r>
            <w:r>
              <w:rPr>
                <w:b w:val="0"/>
                <w:bCs w:val="0"/>
                <w:sz w:val="28"/>
                <w:szCs w:val="28"/>
              </w:rPr>
              <w:tab/>
            </w:r>
            <w:r>
              <w:rPr>
                <w:b w:val="0"/>
                <w:bCs w:val="0"/>
                <w:sz w:val="28"/>
                <w:szCs w:val="28"/>
              </w:rPr>
              <w:fldChar w:fldCharType="begin"/>
              <w:instrText xml:space="preserve">PAGEREF _Toc17 \h</w:instrText>
              <w:fldChar w:fldCharType="separate"/>
              <w:t xml:space="preserve">21</w:t>
              <w:fldChar w:fldCharType="end"/>
            </w:r>
          </w:hyperlink>
          <w:r>
            <w:rPr>
              <w:rFonts w:ascii="Times New Roman" w:hAnsi="Times New Roman" w:cs="Times New Roman"/>
              <w:b w:val="0"/>
              <w:bCs w:val="0"/>
              <w:sz w:val="28"/>
              <w:szCs w:val="28"/>
            </w:rPr>
          </w:r>
          <w:r>
            <w:rPr>
              <w:rFonts w:ascii="Times New Roman" w:hAnsi="Times New Roman" w:cs="Times New Roman"/>
              <w:b w:val="0"/>
              <w:bCs w:val="0"/>
              <w:sz w:val="28"/>
              <w:szCs w:val="28"/>
            </w:rPr>
          </w:r>
        </w:p>
        <w:p>
          <w:pPr>
            <w:pStyle w:val="884"/>
            <w:tabs>
              <w:tab w:val="right" w:pos="9781" w:leader="dot"/>
            </w:tabs>
            <w:rPr>
              <w:rFonts w:ascii="Times New Roman" w:hAnsi="Times New Roman" w:cs="Times New Roman"/>
              <w:b w:val="0"/>
              <w:bCs w:val="0"/>
              <w:sz w:val="28"/>
              <w:szCs w:val="28"/>
            </w:rPr>
          </w:pPr>
          <w:r/>
          <w:hyperlink w:tooltip="#_Toc18" w:anchor="_Toc18" w:history="1">
            <w:r>
              <w:rPr>
                <w:rStyle w:val="902"/>
                <w:sz w:val="28"/>
                <w:szCs w:val="28"/>
              </w:rPr>
            </w:r>
            <w:r>
              <w:rPr>
                <w:rStyle w:val="902"/>
                <w:rFonts w:ascii="Times New Roman" w:hAnsi="Times New Roman" w:cs="Times New Roman"/>
                <w:b w:val="0"/>
                <w:bCs w:val="0"/>
                <w:sz w:val="28"/>
                <w:szCs w:val="28"/>
              </w:rPr>
              <w:t xml:space="preserve">4.4. Исполнение бюджетных полномочий по организации и осуществлению внутреннего финансового аудита</w:t>
            </w:r>
            <w:r>
              <w:rPr>
                <w:rStyle w:val="902"/>
                <w:rFonts w:ascii="Times New Roman" w:hAnsi="Times New Roman" w:cs="Times New Roman"/>
                <w:b w:val="0"/>
                <w:bCs w:val="0"/>
                <w:sz w:val="28"/>
                <w:szCs w:val="28"/>
              </w:rPr>
            </w:r>
            <w:r>
              <w:rPr>
                <w:b w:val="0"/>
                <w:bCs w:val="0"/>
                <w:sz w:val="28"/>
                <w:szCs w:val="28"/>
              </w:rPr>
              <w:tab/>
            </w:r>
            <w:r>
              <w:rPr>
                <w:b w:val="0"/>
                <w:bCs w:val="0"/>
                <w:sz w:val="28"/>
                <w:szCs w:val="28"/>
              </w:rPr>
              <w:fldChar w:fldCharType="begin"/>
              <w:instrText xml:space="preserve">PAGEREF _Toc18 \h</w:instrText>
              <w:fldChar w:fldCharType="separate"/>
              <w:t xml:space="preserve">22</w:t>
              <w:fldChar w:fldCharType="end"/>
            </w:r>
          </w:hyperlink>
          <w:r>
            <w:rPr>
              <w:rFonts w:ascii="Times New Roman" w:hAnsi="Times New Roman" w:cs="Times New Roman"/>
              <w:b w:val="0"/>
              <w:bCs w:val="0"/>
              <w:sz w:val="28"/>
              <w:szCs w:val="28"/>
            </w:rPr>
          </w:r>
          <w:r>
            <w:rPr>
              <w:rFonts w:ascii="Times New Roman" w:hAnsi="Times New Roman" w:cs="Times New Roman"/>
              <w:b w:val="0"/>
              <w:bCs w:val="0"/>
              <w:sz w:val="28"/>
              <w:szCs w:val="28"/>
            </w:rPr>
          </w:r>
        </w:p>
        <w:p>
          <w:pPr>
            <w:pStyle w:val="884"/>
            <w:tabs>
              <w:tab w:val="right" w:pos="9781" w:leader="dot"/>
            </w:tabs>
            <w:rPr>
              <w:rFonts w:ascii="Times New Roman" w:hAnsi="Times New Roman" w:eastAsia="Times New Roman" w:cs="Times New Roman"/>
              <w:b w:val="0"/>
              <w:bCs w:val="0"/>
              <w:sz w:val="28"/>
              <w:szCs w:val="28"/>
            </w:rPr>
          </w:pPr>
          <w:r/>
          <w:hyperlink w:tooltip="#_Toc19" w:anchor="_Toc19" w:history="1">
            <w:r>
              <w:rPr>
                <w:rStyle w:val="902"/>
                <w:sz w:val="28"/>
                <w:szCs w:val="28"/>
              </w:rPr>
            </w:r>
            <w:r>
              <w:rPr>
                <w:rStyle w:val="902"/>
                <w:rFonts w:ascii="Times New Roman" w:hAnsi="Times New Roman" w:eastAsia="Times New Roman" w:cs="Times New Roman"/>
                <w:b w:val="0"/>
                <w:bCs w:val="0"/>
                <w:sz w:val="28"/>
                <w:szCs w:val="28"/>
                <w:lang w:eastAsia="ru-RU"/>
              </w:rPr>
              <w:t xml:space="preserve">4.5. Ос</w:t>
            </w:r>
            <w:r>
              <w:rPr>
                <w:rStyle w:val="902"/>
                <w:rFonts w:ascii="Times New Roman" w:hAnsi="Times New Roman" w:eastAsia="Times New Roman" w:cs="Times New Roman"/>
                <w:b w:val="0"/>
                <w:bCs w:val="0"/>
                <w:sz w:val="28"/>
                <w:szCs w:val="28"/>
                <w:lang w:eastAsia="ru-RU"/>
              </w:rPr>
              <w:t xml:space="preserve">уществление контроля, предусмотренного частью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w:t>
            </w:r>
            <w:r>
              <w:rPr>
                <w:rStyle w:val="902"/>
                <w:rFonts w:ascii="Times New Roman" w:hAnsi="Times New Roman" w:eastAsia="Times New Roman" w:cs="Times New Roman"/>
                <w:b w:val="0"/>
                <w:bCs w:val="0"/>
                <w:sz w:val="28"/>
                <w:szCs w:val="28"/>
                <w:lang w:eastAsia="ru-RU"/>
              </w:rPr>
            </w:r>
            <w:r>
              <w:rPr>
                <w:b w:val="0"/>
                <w:bCs w:val="0"/>
                <w:sz w:val="28"/>
                <w:szCs w:val="28"/>
              </w:rPr>
              <w:tab/>
            </w:r>
            <w:r>
              <w:rPr>
                <w:b w:val="0"/>
                <w:bCs w:val="0"/>
                <w:sz w:val="28"/>
                <w:szCs w:val="28"/>
              </w:rPr>
              <w:fldChar w:fldCharType="begin"/>
              <w:instrText xml:space="preserve">PAGEREF _Toc19 \h</w:instrText>
              <w:fldChar w:fldCharType="separate"/>
              <w:t xml:space="preserve">23</w:t>
              <w:fldChar w:fldCharType="end"/>
            </w:r>
          </w:hyperlink>
          <w:r>
            <w:rPr>
              <w:rFonts w:ascii="Times New Roman" w:hAnsi="Times New Roman" w:eastAsia="Times New Roman" w:cs="Times New Roman"/>
              <w:b w:val="0"/>
              <w:bCs w:val="0"/>
              <w:sz w:val="28"/>
              <w:szCs w:val="28"/>
              <w:lang w:eastAsia="ru-RU"/>
            </w:rPr>
          </w:r>
          <w:r>
            <w:rPr>
              <w:rFonts w:ascii="Times New Roman" w:hAnsi="Times New Roman" w:eastAsia="Times New Roman" w:cs="Times New Roman"/>
              <w:b w:val="0"/>
              <w:bCs w:val="0"/>
              <w:sz w:val="28"/>
              <w:szCs w:val="28"/>
            </w:rPr>
          </w:r>
        </w:p>
        <w:p>
          <w:pPr>
            <w:pStyle w:val="884"/>
            <w:tabs>
              <w:tab w:val="right" w:pos="9781" w:leader="dot"/>
            </w:tabs>
            <w:rPr>
              <w:rFonts w:ascii="Times New Roman" w:hAnsi="Times New Roman" w:eastAsia="Tahoma" w:cs="Times New Roman"/>
              <w:b w:val="0"/>
              <w:bCs w:val="0"/>
              <w:sz w:val="28"/>
              <w:szCs w:val="28"/>
            </w:rPr>
          </w:pPr>
          <w:r/>
          <w:hyperlink w:tooltip="#_Toc20" w:anchor="_Toc20" w:history="1">
            <w:r>
              <w:rPr>
                <w:rStyle w:val="902"/>
                <w:sz w:val="28"/>
                <w:szCs w:val="28"/>
              </w:rPr>
            </w:r>
            <w:r>
              <w:rPr>
                <w:rStyle w:val="902"/>
                <w:rFonts w:ascii="Times New Roman" w:hAnsi="Times New Roman" w:eastAsia="Tahoma" w:cs="Times New Roman"/>
                <w:b w:val="0"/>
                <w:bCs w:val="0"/>
                <w:sz w:val="28"/>
                <w:szCs w:val="28"/>
                <w:lang w:eastAsia="ru-RU" w:bidi="ru-RU"/>
              </w:rPr>
              <w:t xml:space="preserve">4.6. Осуществление проверки и размещения в реестре договоров о проведении капитального ремонта, заключенных заказчиками в соответствии с положениями пункта 239 Порядка привлечения подрядных организаций для оказания</w:t>
            </w:r>
            <w:r>
              <w:rPr>
                <w:rStyle w:val="902"/>
                <w:rFonts w:ascii="Times New Roman" w:hAnsi="Times New Roman" w:eastAsia="Tahoma" w:cs="Times New Roman"/>
                <w:b w:val="0"/>
                <w:bCs w:val="0"/>
                <w:sz w:val="28"/>
                <w:szCs w:val="28"/>
                <w:lang w:eastAsia="ru-RU" w:bidi="ru-RU"/>
              </w:rPr>
              <w:t xml:space="preserve"> услуг и (или) выполнения работ</w:t>
            </w:r>
            <w:r>
              <w:rPr>
                <w:rStyle w:val="902"/>
                <w:rFonts w:ascii="Times New Roman" w:hAnsi="Times New Roman" w:eastAsia="Tahoma" w:cs="Times New Roman"/>
                <w:b w:val="0"/>
                <w:bCs w:val="0"/>
                <w:sz w:val="28"/>
                <w:szCs w:val="28"/>
                <w:lang w:eastAsia="ru-RU" w:bidi="ru-RU"/>
              </w:rPr>
              <w:t xml:space="preserve"> </w:t>
            </w:r>
            <w:r>
              <w:rPr>
                <w:rStyle w:val="902"/>
                <w:rFonts w:ascii="Times New Roman" w:hAnsi="Times New Roman" w:eastAsia="Tahoma" w:cs="Times New Roman"/>
                <w:b w:val="0"/>
                <w:bCs w:val="0"/>
                <w:sz w:val="28"/>
                <w:szCs w:val="28"/>
                <w:lang w:eastAsia="ru-RU" w:bidi="ru-RU"/>
              </w:rPr>
              <w:t xml:space="preserve">по капитальному ремонту общего имущества в многоквартирном доме и порядке осуществления закупок товаров, р</w:t>
            </w:r>
            <w:r>
              <w:rPr>
                <w:rStyle w:val="902"/>
                <w:rFonts w:ascii="Times New Roman" w:hAnsi="Times New Roman" w:eastAsia="Tahoma" w:cs="Times New Roman"/>
                <w:b w:val="0"/>
                <w:bCs w:val="0"/>
                <w:sz w:val="28"/>
                <w:szCs w:val="28"/>
                <w:lang w:eastAsia="ru-RU" w:bidi="ru-RU"/>
              </w:rPr>
              <w:t xml:space="preserve">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утвержденного постановлением Правительс</w:t>
            </w:r>
            <w:r>
              <w:rPr>
                <w:rStyle w:val="902"/>
                <w:rFonts w:ascii="Times New Roman" w:hAnsi="Times New Roman" w:eastAsia="Tahoma" w:cs="Times New Roman"/>
                <w:b w:val="0"/>
                <w:bCs w:val="0"/>
                <w:sz w:val="28"/>
                <w:szCs w:val="28"/>
                <w:lang w:eastAsia="ru-RU" w:bidi="ru-RU"/>
              </w:rPr>
              <w:t xml:space="preserve">тва Российской Федерации</w:t>
            </w:r>
            <w:r>
              <w:rPr>
                <w:rStyle w:val="902"/>
                <w:rFonts w:ascii="Times New Roman" w:hAnsi="Times New Roman" w:eastAsia="Tahoma" w:cs="Times New Roman"/>
                <w:b w:val="0"/>
                <w:bCs w:val="0"/>
                <w:sz w:val="28"/>
                <w:szCs w:val="28"/>
                <w:lang w:eastAsia="ru-RU" w:bidi="ru-RU"/>
              </w:rPr>
              <w:br/>
              <w:t xml:space="preserve">от 01 июля 2016 г. № 615</w:t>
            </w:r>
            <w:r>
              <w:rPr>
                <w:rStyle w:val="902"/>
                <w:rFonts w:ascii="Times New Roman" w:hAnsi="Times New Roman" w:eastAsia="Tahoma" w:cs="Times New Roman"/>
                <w:b w:val="0"/>
                <w:bCs w:val="0"/>
                <w:sz w:val="28"/>
                <w:szCs w:val="28"/>
                <w:lang w:eastAsia="ru-RU" w:bidi="ru-RU"/>
              </w:rPr>
            </w:r>
            <w:r>
              <w:rPr>
                <w:b w:val="0"/>
                <w:bCs w:val="0"/>
                <w:sz w:val="28"/>
                <w:szCs w:val="28"/>
              </w:rPr>
              <w:tab/>
            </w:r>
            <w:r>
              <w:rPr>
                <w:b w:val="0"/>
                <w:bCs w:val="0"/>
                <w:sz w:val="28"/>
                <w:szCs w:val="28"/>
              </w:rPr>
              <w:fldChar w:fldCharType="begin"/>
              <w:instrText xml:space="preserve">PAGEREF _Toc20 \h</w:instrText>
              <w:fldChar w:fldCharType="separate"/>
              <w:t xml:space="preserve">23</w:t>
              <w:fldChar w:fldCharType="end"/>
            </w:r>
          </w:hyperlink>
          <w:r>
            <w:rPr>
              <w:rFonts w:ascii="Times New Roman" w:hAnsi="Times New Roman" w:eastAsia="Tahoma" w:cs="Times New Roman"/>
              <w:b w:val="0"/>
              <w:bCs w:val="0"/>
              <w:sz w:val="28"/>
              <w:szCs w:val="28"/>
              <w:lang w:eastAsia="ru-RU" w:bidi="ru-RU"/>
            </w:rPr>
          </w:r>
          <w:r>
            <w:rPr>
              <w:rFonts w:ascii="Times New Roman" w:hAnsi="Times New Roman" w:eastAsia="Tahoma" w:cs="Times New Roman"/>
              <w:b w:val="0"/>
              <w:bCs w:val="0"/>
              <w:sz w:val="28"/>
              <w:szCs w:val="28"/>
            </w:rPr>
          </w:r>
        </w:p>
        <w:p>
          <w:pPr>
            <w:pStyle w:val="884"/>
            <w:tabs>
              <w:tab w:val="right" w:pos="9781" w:leader="dot"/>
            </w:tabs>
            <w:rPr>
              <w:rFonts w:ascii="Times New Roman" w:hAnsi="Times New Roman" w:cs="Times New Roman"/>
              <w:b w:val="0"/>
              <w:bCs w:val="0"/>
              <w:sz w:val="28"/>
              <w:szCs w:val="28"/>
            </w:rPr>
          </w:pPr>
          <w:r/>
          <w:hyperlink w:tooltip="#_Toc21" w:anchor="_Toc21" w:history="1">
            <w:r>
              <w:rPr>
                <w:rStyle w:val="902"/>
                <w:sz w:val="28"/>
                <w:szCs w:val="28"/>
              </w:rPr>
            </w:r>
            <w:r>
              <w:rPr>
                <w:rStyle w:val="902"/>
                <w:rFonts w:hint="default" w:ascii="Times New Roman" w:hAnsi="Times New Roman" w:eastAsia="Times New Roman" w:cs="Times New Roman"/>
                <w:b w:val="0"/>
                <w:bCs w:val="0"/>
                <w:sz w:val="28"/>
                <w:szCs w:val="28"/>
              </w:rPr>
              <w:t xml:space="preserve">V</w:t>
            </w:r>
            <w:r>
              <w:rPr>
                <w:rStyle w:val="902"/>
                <w:rFonts w:ascii="Times New Roman" w:hAnsi="Times New Roman" w:eastAsia="Times New Roman" w:cs="Times New Roman"/>
                <w:b w:val="0"/>
                <w:bCs w:val="0"/>
                <w:sz w:val="28"/>
                <w:szCs w:val="28"/>
              </w:rPr>
              <w:t xml:space="preserve">. </w:t>
            </w:r>
            <w:r>
              <w:rPr>
                <w:rStyle w:val="902"/>
                <w:rFonts w:ascii="Times New Roman" w:hAnsi="Times New Roman" w:cs="Times New Roman"/>
                <w:b w:val="0"/>
                <w:bCs w:val="0"/>
                <w:sz w:val="28"/>
                <w:szCs w:val="28"/>
              </w:rPr>
              <w:t xml:space="preserve">Информационные системы Федерального казначейства</w:t>
            </w:r>
            <w:r>
              <w:rPr>
                <w:rStyle w:val="902"/>
                <w:rFonts w:ascii="Times New Roman" w:hAnsi="Times New Roman" w:cs="Times New Roman"/>
                <w:b w:val="0"/>
                <w:bCs w:val="0"/>
                <w:sz w:val="28"/>
                <w:szCs w:val="28"/>
              </w:rPr>
            </w:r>
            <w:r>
              <w:rPr>
                <w:b w:val="0"/>
                <w:bCs w:val="0"/>
                <w:sz w:val="28"/>
                <w:szCs w:val="28"/>
              </w:rPr>
              <w:tab/>
            </w:r>
            <w:r>
              <w:rPr>
                <w:b w:val="0"/>
                <w:bCs w:val="0"/>
                <w:sz w:val="28"/>
                <w:szCs w:val="28"/>
              </w:rPr>
              <w:fldChar w:fldCharType="begin"/>
              <w:instrText xml:space="preserve">PAGEREF _Toc21 \h</w:instrText>
              <w:fldChar w:fldCharType="separate"/>
              <w:t xml:space="preserve">23</w:t>
              <w:fldChar w:fldCharType="end"/>
            </w:r>
          </w:hyperlink>
          <w:r>
            <w:rPr>
              <w:rFonts w:ascii="Times New Roman" w:hAnsi="Times New Roman" w:cs="Times New Roman"/>
              <w:b w:val="0"/>
              <w:bCs w:val="0"/>
              <w:sz w:val="28"/>
              <w:szCs w:val="28"/>
            </w:rPr>
          </w:r>
          <w:r>
            <w:rPr>
              <w:rFonts w:ascii="Times New Roman" w:hAnsi="Times New Roman" w:cs="Times New Roman"/>
              <w:b w:val="0"/>
              <w:bCs w:val="0"/>
              <w:sz w:val="28"/>
              <w:szCs w:val="28"/>
            </w:rPr>
          </w:r>
        </w:p>
        <w:p>
          <w:pPr>
            <w:pStyle w:val="884"/>
            <w:tabs>
              <w:tab w:val="right" w:pos="9781" w:leader="dot"/>
            </w:tabs>
            <w:rPr>
              <w:rFonts w:ascii="Times New Roman" w:hAnsi="Times New Roman" w:cs="Times New Roman"/>
              <w:b w:val="0"/>
              <w:bCs w:val="0"/>
              <w:sz w:val="28"/>
              <w:szCs w:val="28"/>
            </w:rPr>
          </w:pPr>
          <w:r/>
          <w:hyperlink w:tooltip="#_Toc22" w:anchor="_Toc22" w:history="1">
            <w:r>
              <w:rPr>
                <w:rStyle w:val="902"/>
                <w:sz w:val="28"/>
                <w:szCs w:val="28"/>
              </w:rPr>
            </w:r>
            <w:r>
              <w:rPr>
                <w:rStyle w:val="902"/>
                <w:rFonts w:hint="default" w:ascii="Times New Roman" w:hAnsi="Times New Roman" w:eastAsia="Times New Roman" w:cs="Times New Roman"/>
                <w:b w:val="0"/>
                <w:bCs w:val="0"/>
                <w:sz w:val="28"/>
                <w:szCs w:val="28"/>
              </w:rPr>
              <w:t xml:space="preserve">V</w:t>
            </w:r>
            <w:r>
              <w:rPr>
                <w:rStyle w:val="902"/>
                <w:rFonts w:hint="default" w:ascii="Times New Roman" w:hAnsi="Times New Roman" w:eastAsia="Times New Roman" w:cs="Times New Roman"/>
                <w:b w:val="0"/>
                <w:bCs w:val="0"/>
                <w:sz w:val="28"/>
                <w:szCs w:val="28"/>
              </w:rPr>
              <w:t xml:space="preserve">I</w:t>
            </w:r>
            <w:r>
              <w:rPr>
                <w:rStyle w:val="902"/>
                <w:rFonts w:ascii="Times New Roman" w:hAnsi="Times New Roman" w:eastAsia="Times New Roman" w:cs="Times New Roman"/>
                <w:b w:val="0"/>
                <w:bCs w:val="0"/>
                <w:sz w:val="28"/>
                <w:szCs w:val="28"/>
              </w:rPr>
              <w:t xml:space="preserve">. </w:t>
            </w:r>
            <w:r>
              <w:rPr>
                <w:rStyle w:val="902"/>
                <w:rFonts w:ascii="Times New Roman" w:hAnsi="Times New Roman" w:cs="Times New Roman"/>
                <w:b w:val="0"/>
                <w:bCs w:val="0"/>
                <w:sz w:val="28"/>
                <w:szCs w:val="28"/>
              </w:rPr>
              <w:t xml:space="preserve">Иная деятельность Управления</w:t>
            </w:r>
            <w:r>
              <w:rPr>
                <w:rStyle w:val="902"/>
                <w:rFonts w:ascii="Times New Roman" w:hAnsi="Times New Roman" w:cs="Times New Roman"/>
                <w:b w:val="0"/>
                <w:bCs w:val="0"/>
                <w:sz w:val="28"/>
                <w:szCs w:val="28"/>
              </w:rPr>
            </w:r>
            <w:r>
              <w:rPr>
                <w:b w:val="0"/>
                <w:bCs w:val="0"/>
                <w:sz w:val="28"/>
                <w:szCs w:val="28"/>
              </w:rPr>
              <w:tab/>
            </w:r>
            <w:r>
              <w:rPr>
                <w:b w:val="0"/>
                <w:bCs w:val="0"/>
                <w:sz w:val="28"/>
                <w:szCs w:val="28"/>
              </w:rPr>
              <w:fldChar w:fldCharType="begin"/>
              <w:instrText xml:space="preserve">PAGEREF _Toc22 \h</w:instrText>
              <w:fldChar w:fldCharType="separate"/>
              <w:t xml:space="preserve">25</w:t>
              <w:fldChar w:fldCharType="end"/>
            </w:r>
          </w:hyperlink>
          <w:r>
            <w:rPr>
              <w:rFonts w:ascii="Times New Roman" w:hAnsi="Times New Roman" w:cs="Times New Roman"/>
              <w:b w:val="0"/>
              <w:bCs w:val="0"/>
              <w:sz w:val="28"/>
              <w:szCs w:val="28"/>
            </w:rPr>
          </w:r>
          <w:r>
            <w:rPr>
              <w:rFonts w:ascii="Times New Roman" w:hAnsi="Times New Roman" w:cs="Times New Roman"/>
              <w:b w:val="0"/>
              <w:bCs w:val="0"/>
              <w:sz w:val="28"/>
              <w:szCs w:val="28"/>
            </w:rPr>
          </w:r>
        </w:p>
        <w:p>
          <w:pPr>
            <w:pStyle w:val="884"/>
            <w:rPr>
              <w:b w:val="0"/>
              <w:bCs w:val="0"/>
              <w:sz w:val="28"/>
              <w:szCs w:val="28"/>
            </w:rPr>
          </w:pPr>
          <w:r>
            <w:rPr>
              <w:b w:val="0"/>
              <w:bCs w:val="0"/>
              <w:sz w:val="28"/>
              <w:szCs w:val="28"/>
            </w:rPr>
          </w:r>
          <w:r>
            <w:rPr>
              <w:b w:val="0"/>
              <w:bCs w:val="0"/>
              <w:sz w:val="28"/>
              <w:szCs w:val="28"/>
            </w:rPr>
            <w:fldChar w:fldCharType="end"/>
          </w:r>
          <w:r>
            <w:rPr>
              <w:b w:val="0"/>
              <w:bCs w:val="0"/>
              <w:sz w:val="28"/>
              <w:szCs w:val="28"/>
            </w:rPr>
          </w:r>
          <w:r>
            <w:rPr>
              <w:b w:val="0"/>
              <w:bCs w:val="0"/>
              <w:sz w:val="28"/>
              <w:szCs w:val="28"/>
            </w:rPr>
          </w:r>
        </w:p>
      </w:sdtContent>
    </w:sdt>
    <w:p>
      <w:pPr>
        <w:rPr>
          <w:rFonts w:ascii="Times New Roman" w:hAnsi="Times New Roman" w:cs="Times New Roman"/>
          <w:sz w:val="28"/>
          <w:szCs w:val="28"/>
        </w:rPr>
      </w:pPr>
      <w:r>
        <w:rPr>
          <w:rFonts w:ascii="Times New Roman" w:hAnsi="Times New Roman" w:cs="Times New Roman"/>
          <w:sz w:val="28"/>
          <w:szCs w:val="28"/>
        </w:rPr>
        <w:br w:type="page" w:clear="all"/>
      </w:r>
      <w:r>
        <w:rPr>
          <w:rFonts w:ascii="Times New Roman" w:hAnsi="Times New Roman" w:cs="Times New Roman"/>
          <w:sz w:val="28"/>
          <w:szCs w:val="28"/>
        </w:rPr>
      </w:r>
      <w:r>
        <w:rPr>
          <w:rFonts w:ascii="Times New Roman" w:hAnsi="Times New Roman" w:cs="Times New Roman"/>
          <w:sz w:val="28"/>
          <w:szCs w:val="28"/>
        </w:rPr>
      </w:r>
    </w:p>
    <w:p>
      <w:pPr>
        <w:pStyle w:val="871"/>
        <w:jc w:val="both"/>
        <w:rPr>
          <w:rFonts w:ascii="Times New Roman" w:hAnsi="Times New Roman" w:cs="Times New Roman"/>
          <w:b/>
          <w:color w:val="auto"/>
          <w:sz w:val="28"/>
          <w:szCs w:val="28"/>
        </w:rPr>
      </w:pPr>
      <w:r/>
      <w:bookmarkStart w:id="1" w:name="_Toc1"/>
      <w:r>
        <w:rPr>
          <w:rFonts w:ascii="Times New Roman" w:hAnsi="Times New Roman" w:cs="Times New Roman"/>
          <w:b/>
          <w:color w:val="auto"/>
          <w:sz w:val="28"/>
          <w:szCs w:val="28"/>
          <w:lang w:val="en-US"/>
        </w:rPr>
        <w:t xml:space="preserve">I</w:t>
      </w:r>
      <w:r>
        <w:rPr>
          <w:rFonts w:ascii="Times New Roman" w:hAnsi="Times New Roman" w:cs="Times New Roman"/>
          <w:b/>
          <w:color w:val="auto"/>
          <w:sz w:val="28"/>
          <w:szCs w:val="28"/>
        </w:rPr>
        <w:t xml:space="preserve">.</w:t>
      </w:r>
      <w:r>
        <w:rPr>
          <w:rFonts w:ascii="Times New Roman" w:hAnsi="Times New Roman" w:cs="Times New Roman"/>
          <w:b/>
          <w:color w:val="auto"/>
          <w:sz w:val="28"/>
          <w:szCs w:val="28"/>
          <w:lang w:val="en-US"/>
        </w:rPr>
        <w:t xml:space="preserve"> </w:t>
      </w:r>
      <w:r>
        <w:rPr>
          <w:rFonts w:ascii="Times New Roman" w:hAnsi="Times New Roman" w:cs="Times New Roman"/>
          <w:b/>
          <w:color w:val="auto"/>
          <w:sz w:val="28"/>
          <w:szCs w:val="28"/>
        </w:rPr>
        <w:t xml:space="preserve">Общая информация об Управлении Федерального казначейства </w:t>
      </w:r>
      <w:r>
        <w:rPr>
          <w:rFonts w:ascii="Times New Roman" w:hAnsi="Times New Roman" w:cs="Times New Roman"/>
          <w:b/>
          <w:color w:val="auto"/>
          <w:sz w:val="28"/>
          <w:szCs w:val="28"/>
        </w:rPr>
        <w:br/>
        <w:t xml:space="preserve">по Челябинской области</w:t>
      </w:r>
      <w:r>
        <w:rPr>
          <w:rFonts w:ascii="Times New Roman" w:hAnsi="Times New Roman" w:cs="Times New Roman"/>
          <w:b/>
          <w:color w:val="auto"/>
          <w:sz w:val="28"/>
          <w:szCs w:val="28"/>
        </w:rPr>
      </w:r>
      <w:bookmarkEnd w:id="1"/>
      <w:r>
        <w:rPr>
          <w:rFonts w:ascii="Times New Roman" w:hAnsi="Times New Roman" w:cs="Times New Roman"/>
          <w:b/>
          <w:color w:val="auto"/>
          <w:sz w:val="28"/>
          <w:szCs w:val="28"/>
        </w:rPr>
      </w:r>
      <w:r>
        <w:rPr>
          <w:rFonts w:ascii="Times New Roman" w:hAnsi="Times New Roman" w:cs="Times New Roman"/>
          <w:b/>
          <w:color w:val="auto"/>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Управление Федерального казначейства по Челябинской области </w:t>
      </w:r>
      <w:r>
        <w:rPr>
          <w:rFonts w:ascii="Times New Roman" w:hAnsi="Times New Roman" w:cs="Times New Roman"/>
          <w:sz w:val="28"/>
          <w:szCs w:val="28"/>
        </w:rPr>
        <w:br/>
        <w:t xml:space="preserve">(далее – Управление) является территориальным органом Федерального казначейства и непосредственным участником единой </w:t>
      </w:r>
      <w:r>
        <w:rPr>
          <w:rFonts w:ascii="Times New Roman" w:hAnsi="Times New Roman" w:cs="Times New Roman"/>
          <w:sz w:val="28"/>
          <w:szCs w:val="28"/>
        </w:rPr>
        <w:t xml:space="preserve">транзакционной</w:t>
      </w:r>
      <w:r>
        <w:rPr>
          <w:rFonts w:ascii="Times New Roman" w:hAnsi="Times New Roman" w:cs="Times New Roman"/>
          <w:sz w:val="28"/>
          <w:szCs w:val="28"/>
        </w:rPr>
        <w:t xml:space="preserve">, учетной, контрольной и информационной системы казначейства в области финансовой деятельности публично-правовых образований.</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Положение об Управлении Федерального казначейства по Челябинской области, утвержденное приказом Федерального казначейства </w:t>
      </w:r>
      <w:r>
        <w:rPr>
          <w:rFonts w:ascii="Times New Roman" w:hAnsi="Times New Roman" w:cs="Times New Roman"/>
          <w:sz w:val="28"/>
          <w:szCs w:val="28"/>
        </w:rPr>
        <w:br/>
        <w:t xml:space="preserve">от 27 декабря 2013 г. № 316 (с изменениями) размещено на официальном интернет-сайте Управления (</w:t>
      </w:r>
      <w:r>
        <w:rPr>
          <w:rFonts w:ascii="Times New Roman" w:hAnsi="Times New Roman" w:cs="Times New Roman"/>
          <w:sz w:val="28"/>
          <w:szCs w:val="28"/>
        </w:rPr>
        <w:t xml:space="preserve">https://chelyabinsk.roskazna.gov.ru</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Структура Управлен</w:t>
      </w:r>
      <w:r>
        <w:rPr>
          <w:rFonts w:ascii="Times New Roman" w:hAnsi="Times New Roman" w:cs="Times New Roman"/>
          <w:sz w:val="28"/>
          <w:szCs w:val="28"/>
        </w:rPr>
        <w:t xml:space="preserve">ия по состоянию на 1 января 202</w:t>
      </w:r>
      <w:r>
        <w:rPr>
          <w:rFonts w:ascii="Times New Roman" w:hAnsi="Times New Roman" w:cs="Times New Roman"/>
          <w:sz w:val="28"/>
          <w:szCs w:val="28"/>
        </w:rPr>
        <w:t xml:space="preserve">6</w:t>
      </w:r>
      <w:r>
        <w:rPr>
          <w:rFonts w:ascii="Times New Roman" w:hAnsi="Times New Roman" w:cs="Times New Roman"/>
          <w:sz w:val="28"/>
          <w:szCs w:val="28"/>
        </w:rPr>
        <w:t xml:space="preserve"> г. приведена на рисунке 1.</w:t>
      </w:r>
      <w:r>
        <w:rPr>
          <w:rFonts w:ascii="Times New Roman" w:hAnsi="Times New Roman" w:cs="Times New Roman"/>
          <w:sz w:val="28"/>
          <w:szCs w:val="28"/>
        </w:rPr>
      </w:r>
      <w:r>
        <w:rPr>
          <w:rFonts w:ascii="Times New Roman" w:hAnsi="Times New Roman" w:cs="Times New Roman"/>
          <w:sz w:val="28"/>
          <w:szCs w:val="28"/>
        </w:rPr>
      </w:r>
    </w:p>
    <w:p>
      <w:pPr>
        <w:contextualSpacing/>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Рисунок 1. Структура Управления Федерального казначейства </w:t>
      </w:r>
      <w:r>
        <w:rPr>
          <w:rFonts w:ascii="Times New Roman" w:hAnsi="Times New Roman" w:cs="Times New Roman"/>
          <w:sz w:val="28"/>
          <w:szCs w:val="28"/>
        </w:rPr>
        <w:br/>
        <w:t xml:space="preserve">по Челябинской облас</w:t>
      </w:r>
      <w:r>
        <w:rPr>
          <w:rFonts w:ascii="Times New Roman" w:hAnsi="Times New Roman" w:cs="Times New Roman"/>
          <w:sz w:val="28"/>
          <w:szCs w:val="28"/>
        </w:rPr>
        <w:t xml:space="preserve">ти по состоянию на 1 января 202</w:t>
      </w:r>
      <w:r>
        <w:rPr>
          <w:rFonts w:ascii="Times New Roman" w:hAnsi="Times New Roman" w:cs="Times New Roman"/>
          <w:sz w:val="28"/>
          <w:szCs w:val="28"/>
        </w:rPr>
        <w:t xml:space="preserve">6</w:t>
      </w:r>
      <w:r>
        <w:rPr>
          <w:rFonts w:ascii="Times New Roman" w:hAnsi="Times New Roman" w:cs="Times New Roman"/>
          <w:sz w:val="28"/>
          <w:szCs w:val="28"/>
        </w:rPr>
        <w:t xml:space="preserve"> года</w:t>
      </w:r>
      <w:r>
        <w:rPr>
          <w:rFonts w:ascii="Times New Roman" w:hAnsi="Times New Roman" w:cs="Times New Roman"/>
          <w:sz w:val="28"/>
          <w:szCs w:val="28"/>
        </w:rPr>
      </w:r>
      <w:r>
        <w:rPr>
          <w:rFonts w:ascii="Times New Roman" w:hAnsi="Times New Roman" w:cs="Times New Roman"/>
          <w:sz w:val="28"/>
          <w:szCs w:val="28"/>
        </w:rPr>
      </w:r>
    </w:p>
    <w:p>
      <w:pPr>
        <w:contextualSpacing/>
        <w:jc w:val="both"/>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contextualSpacing/>
        <w:ind w:hanging="142"/>
        <w:jc w:val="both"/>
        <w:spacing w:after="0" w:line="240" w:lineRule="auto"/>
      </w:pPr>
      <w:r>
        <mc:AlternateContent>
          <mc:Choice Requires="wpg">
            <w:drawing>
              <wp:inline xmlns:wp="http://schemas.openxmlformats.org/drawingml/2006/wordprocessingDrawing" distT="0" distB="0" distL="0" distR="0">
                <wp:extent cx="6381820" cy="4411980"/>
                <wp:effectExtent l="0" t="0" r="0" b="7620"/>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
                        <a:srcRect l="21378" t="19385" r="19402" b="7828"/>
                        <a:stretch/>
                      </pic:blipFill>
                      <pic:spPr bwMode="auto">
                        <a:xfrm>
                          <a:off x="0" y="0"/>
                          <a:ext cx="6403901" cy="4427246"/>
                        </a:xfrm>
                        <a:prstGeom prst="rect">
                          <a:avLst/>
                        </a:prstGeom>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502.51pt;height:347.40pt;mso-wrap-distance-left:0.00pt;mso-wrap-distance-top:0.00pt;mso-wrap-distance-right:0.00pt;mso-wrap-distance-bottom:0.00pt;" stroked="f">
                <v:path textboxrect="0,0,0,0"/>
                <v:imagedata r:id="rId11" o:title=""/>
              </v:shape>
            </w:pict>
          </mc:Fallback>
        </mc:AlternateContent>
      </w: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202</w:t>
      </w:r>
      <w:r>
        <w:rPr>
          <w:rFonts w:ascii="Times New Roman" w:hAnsi="Times New Roman" w:cs="Times New Roman"/>
          <w:sz w:val="28"/>
          <w:szCs w:val="28"/>
        </w:rPr>
        <w:t xml:space="preserve">5</w:t>
      </w:r>
      <w:r>
        <w:rPr>
          <w:rFonts w:ascii="Times New Roman" w:hAnsi="Times New Roman" w:cs="Times New Roman"/>
          <w:sz w:val="28"/>
          <w:szCs w:val="28"/>
        </w:rPr>
        <w:t xml:space="preserve"> году работа Управления была организована в соответс</w:t>
      </w:r>
      <w:r>
        <w:rPr>
          <w:rFonts w:ascii="Times New Roman" w:hAnsi="Times New Roman" w:cs="Times New Roman"/>
          <w:sz w:val="28"/>
          <w:szCs w:val="28"/>
        </w:rPr>
        <w:t xml:space="preserve">твии </w:t>
      </w:r>
      <w:r>
        <w:rPr>
          <w:rFonts w:ascii="Times New Roman" w:hAnsi="Times New Roman" w:cs="Times New Roman"/>
          <w:sz w:val="28"/>
          <w:szCs w:val="28"/>
        </w:rPr>
        <w:t xml:space="preserve">с Планом деятельности Управления Федерального казначейства по Челябинской области на 202</w:t>
      </w:r>
      <w:r>
        <w:rPr>
          <w:rFonts w:ascii="Times New Roman" w:hAnsi="Times New Roman" w:cs="Times New Roman"/>
          <w:sz w:val="28"/>
          <w:szCs w:val="28"/>
        </w:rPr>
        <w:t xml:space="preserve">5</w:t>
      </w:r>
      <w:r>
        <w:rPr>
          <w:rFonts w:ascii="Times New Roman" w:hAnsi="Times New Roman" w:cs="Times New Roman"/>
          <w:sz w:val="28"/>
          <w:szCs w:val="28"/>
        </w:rPr>
        <w:t xml:space="preserve"> год</w:t>
      </w:r>
      <w:r>
        <w:rPr>
          <w:rFonts w:ascii="Times New Roman" w:hAnsi="Times New Roman" w:cs="Times New Roman"/>
          <w:sz w:val="28"/>
          <w:szCs w:val="28"/>
        </w:rPr>
        <w:t xml:space="preserve"> и иными документами планирования, утвержденными руководителем.</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871"/>
        <w:contextualSpacing/>
        <w:jc w:val="both"/>
        <w:spacing w:before="0" w:line="240" w:lineRule="auto"/>
        <w:rPr>
          <w:rFonts w:ascii="Times New Roman" w:hAnsi="Times New Roman" w:cs="Times New Roman"/>
          <w:b/>
          <w:color w:val="auto"/>
          <w:sz w:val="28"/>
          <w:szCs w:val="28"/>
        </w:rPr>
      </w:pPr>
      <w:r/>
      <w:bookmarkStart w:id="2" w:name="_Toc2"/>
      <w:r>
        <w:rPr>
          <w:rFonts w:ascii="Times New Roman" w:hAnsi="Times New Roman" w:cs="Times New Roman"/>
          <w:b/>
          <w:color w:val="auto"/>
          <w:sz w:val="28"/>
          <w:szCs w:val="28"/>
          <w:lang w:val="en-US"/>
        </w:rPr>
        <w:t xml:space="preserve">II</w:t>
      </w:r>
      <w:r>
        <w:rPr>
          <w:rFonts w:ascii="Times New Roman" w:hAnsi="Times New Roman" w:cs="Times New Roman"/>
          <w:b/>
          <w:color w:val="auto"/>
          <w:sz w:val="28"/>
          <w:szCs w:val="28"/>
        </w:rPr>
        <w:t xml:space="preserve">. Исполнение функций транзакционной системы Федерального казначейства</w:t>
      </w:r>
      <w:r>
        <w:rPr>
          <w:rFonts w:ascii="Times New Roman" w:hAnsi="Times New Roman" w:cs="Times New Roman"/>
          <w:b/>
          <w:color w:val="auto"/>
          <w:sz w:val="28"/>
          <w:szCs w:val="28"/>
        </w:rPr>
      </w:r>
      <w:bookmarkEnd w:id="2"/>
      <w:r>
        <w:rPr>
          <w:rFonts w:ascii="Times New Roman" w:hAnsi="Times New Roman" w:cs="Times New Roman"/>
          <w:b/>
          <w:color w:val="auto"/>
          <w:sz w:val="28"/>
          <w:szCs w:val="28"/>
        </w:rPr>
      </w:r>
      <w:r>
        <w:rPr>
          <w:rFonts w:ascii="Times New Roman" w:hAnsi="Times New Roman" w:cs="Times New Roman"/>
          <w:b/>
          <w:color w:val="auto"/>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подразделениях расчетной сети Банка России и кредитных организациях (далее – Банк) на 1 января 2025 г. Упр</w:t>
      </w:r>
      <w:r>
        <w:rPr>
          <w:rFonts w:ascii="Times New Roman" w:hAnsi="Times New Roman" w:cs="Times New Roman"/>
          <w:sz w:val="28"/>
          <w:szCs w:val="28"/>
        </w:rPr>
        <w:t xml:space="preserve">авлению было открыто 333 банковских счета, из них: один - на балансовом счете № 40102 «Единый казначейский счет», один на балансовом счете № 40816 «Средства бюджета Союзного государства» и 331 - на балансовом счете № 40116 «Средства для выдачи и внесения н</w:t>
      </w:r>
      <w:r>
        <w:rPr>
          <w:rFonts w:ascii="Times New Roman" w:hAnsi="Times New Roman" w:cs="Times New Roman"/>
          <w:sz w:val="28"/>
          <w:szCs w:val="28"/>
        </w:rPr>
        <w:t xml:space="preserve">аличных денег и осуществления расчетов по отдельным операциям» для обеспечения наличными денежными средствами организаций, лицевые счета которым открыты в Управлении, Министерстве финансов (финансовых органах муниципальных образований) Челябинской области.</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Для проведения кассовых выплат со счетов Управления было сформировано более 16,3 млн. поручений о перечислении на счет, распоряжений о переводе денежных средств.</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Принято и обработано 73,65 тыс. выписок Банка, сформировано и обработано 171,78 тыс. выписок из казначейских счетов.</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Передано в Банк 124,99 тыс. шт. инкассовых поручений, представленных клиентом Управления (Отделение фонда пенсионного и социального страхования Российской Федерации по Челябинской области).</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b/>
          <w:sz w:val="28"/>
          <w:szCs w:val="28"/>
        </w:rPr>
      </w:pPr>
      <w:r>
        <w:rPr>
          <w:rFonts w:ascii="Times New Roman" w:hAnsi="Times New Roman" w:cs="Times New Roman"/>
          <w:sz w:val="28"/>
          <w:szCs w:val="28"/>
        </w:rPr>
        <w:t xml:space="preserve">Для осуществления кассовых выплат или осуществления возврата (зачета, уточнения) излишне уплач</w:t>
      </w:r>
      <w:r>
        <w:rPr>
          <w:rFonts w:ascii="Times New Roman" w:hAnsi="Times New Roman" w:cs="Times New Roman"/>
          <w:sz w:val="28"/>
          <w:szCs w:val="28"/>
        </w:rPr>
        <w:t xml:space="preserve">енных (взысканных) сумм платежей сформировано и направлено в Межрегиональное операционное управление Федерального казначейства (далее – МОУ) 1,27 тыс. шт. Консолидированных заявок на перечисление средств с Отдельного счета федерального бюджета, Отдельного </w:t>
      </w:r>
      <w:r>
        <w:rPr>
          <w:rFonts w:ascii="Times New Roman" w:hAnsi="Times New Roman" w:cs="Times New Roman"/>
          <w:sz w:val="28"/>
          <w:szCs w:val="28"/>
        </w:rPr>
        <w:t xml:space="preserve">казначейского </w:t>
      </w:r>
      <w:r>
        <w:rPr>
          <w:rFonts w:ascii="Times New Roman" w:hAnsi="Times New Roman" w:cs="Times New Roman"/>
          <w:sz w:val="28"/>
          <w:szCs w:val="28"/>
        </w:rPr>
        <w:t xml:space="preserve">счета № </w:t>
      </w:r>
      <w:r>
        <w:rPr>
          <w:rFonts w:ascii="Times New Roman" w:hAnsi="Times New Roman" w:cs="Times New Roman"/>
          <w:sz w:val="28"/>
          <w:szCs w:val="28"/>
        </w:rPr>
        <w:t xml:space="preserve">0</w:t>
      </w:r>
      <w:r>
        <w:rPr>
          <w:rFonts w:ascii="Times New Roman" w:hAnsi="Times New Roman" w:cs="Times New Roman"/>
          <w:sz w:val="28"/>
          <w:szCs w:val="28"/>
        </w:rPr>
        <w:t xml:space="preserve">3241</w:t>
      </w:r>
      <w:r>
        <w:rPr>
          <w:rFonts w:ascii="Times New Roman" w:hAnsi="Times New Roman" w:cs="Times New Roman"/>
          <w:sz w:val="28"/>
          <w:szCs w:val="28"/>
        </w:rPr>
        <w:t xml:space="preserve"> «Средства бюджета Фонда пенсионного и социального страхования Российской Федерации» на соответствующие счета Управления.</w:t>
      </w:r>
      <w:r>
        <w:rPr>
          <w:rFonts w:ascii="Times New Roman" w:hAnsi="Times New Roman" w:cs="Times New Roman"/>
          <w:b/>
          <w:sz w:val="28"/>
          <w:szCs w:val="28"/>
        </w:rPr>
      </w:r>
      <w:r>
        <w:rPr>
          <w:rFonts w:ascii="Times New Roman" w:hAnsi="Times New Roman" w:cs="Times New Roman"/>
          <w:b/>
          <w:sz w:val="28"/>
          <w:szCs w:val="28"/>
        </w:rPr>
      </w:r>
    </w:p>
    <w:p>
      <w:pPr>
        <w:contextualSpacing/>
        <w:ind w:firstLine="709"/>
        <w:jc w:val="both"/>
        <w:spacing w:after="0" w:line="240" w:lineRule="auto"/>
        <w:rPr>
          <w:rFonts w:ascii="Times New Roman" w:hAnsi="Times New Roman" w:cs="Times New Roman"/>
          <w:b/>
          <w:sz w:val="28"/>
          <w:szCs w:val="28"/>
        </w:rPr>
      </w:pPr>
      <w:r>
        <w:rPr>
          <w:rFonts w:ascii="Times New Roman" w:hAnsi="Times New Roman" w:cs="Times New Roman"/>
          <w:b/>
          <w:sz w:val="28"/>
          <w:szCs w:val="28"/>
        </w:rPr>
      </w:r>
      <w:r>
        <w:rPr>
          <w:rFonts w:ascii="Times New Roman" w:hAnsi="Times New Roman" w:cs="Times New Roman"/>
          <w:b/>
          <w:sz w:val="28"/>
          <w:szCs w:val="28"/>
        </w:rPr>
      </w:r>
      <w:r>
        <w:rPr>
          <w:rFonts w:ascii="Times New Roman" w:hAnsi="Times New Roman" w:cs="Times New Roman"/>
          <w:b/>
          <w:sz w:val="28"/>
          <w:szCs w:val="28"/>
        </w:rPr>
      </w:r>
    </w:p>
    <w:p>
      <w:pPr>
        <w:pStyle w:val="871"/>
        <w:contextualSpacing/>
        <w:jc w:val="both"/>
        <w:spacing w:before="0" w:line="240" w:lineRule="auto"/>
        <w:rPr>
          <w:rFonts w:ascii="Times New Roman" w:hAnsi="Times New Roman" w:cs="Times New Roman"/>
          <w:b/>
          <w:color w:val="auto"/>
          <w:sz w:val="28"/>
          <w:szCs w:val="28"/>
        </w:rPr>
      </w:pPr>
      <w:r/>
      <w:bookmarkStart w:id="3" w:name="_Toc3"/>
      <w:r>
        <w:rPr>
          <w:rFonts w:ascii="Times New Roman" w:hAnsi="Times New Roman" w:cs="Times New Roman"/>
          <w:b/>
          <w:color w:val="auto"/>
          <w:sz w:val="28"/>
          <w:szCs w:val="28"/>
        </w:rPr>
        <w:t xml:space="preserve">2.1. Казначейское обслуживание исполнения бюджетов бюджетной системы Российской Федерации.</w:t>
      </w:r>
      <w:r>
        <w:rPr>
          <w:rFonts w:ascii="Times New Roman" w:hAnsi="Times New Roman" w:cs="Times New Roman"/>
          <w:b/>
          <w:color w:val="auto"/>
          <w:sz w:val="28"/>
          <w:szCs w:val="28"/>
        </w:rPr>
      </w:r>
      <w:bookmarkEnd w:id="3"/>
      <w:r>
        <w:rPr>
          <w:rFonts w:ascii="Times New Roman" w:hAnsi="Times New Roman" w:cs="Times New Roman"/>
          <w:b/>
          <w:color w:val="auto"/>
          <w:sz w:val="28"/>
          <w:szCs w:val="28"/>
        </w:rPr>
      </w:r>
      <w:r>
        <w:rPr>
          <w:rFonts w:ascii="Times New Roman" w:hAnsi="Times New Roman" w:cs="Times New Roman"/>
          <w:b/>
          <w:color w:val="auto"/>
          <w:sz w:val="28"/>
          <w:szCs w:val="28"/>
        </w:rPr>
      </w:r>
    </w:p>
    <w:p>
      <w:pPr>
        <w:contextualSpacing/>
        <w:ind w:firstLine="709"/>
        <w:jc w:val="both"/>
        <w:spacing w:after="0" w:line="240" w:lineRule="auto"/>
        <w:rPr>
          <w:rFonts w:ascii="Times New Roman" w:hAnsi="Times New Roman" w:cs="Times New Roman"/>
          <w:b/>
          <w:sz w:val="28"/>
          <w:szCs w:val="28"/>
        </w:rPr>
      </w:pPr>
      <w:r>
        <w:rPr>
          <w:rFonts w:ascii="Times New Roman" w:hAnsi="Times New Roman" w:cs="Times New Roman"/>
          <w:b/>
          <w:sz w:val="28"/>
          <w:szCs w:val="28"/>
        </w:rPr>
      </w:r>
      <w:r>
        <w:rPr>
          <w:rFonts w:ascii="Times New Roman" w:hAnsi="Times New Roman" w:cs="Times New Roman"/>
          <w:b/>
          <w:sz w:val="28"/>
          <w:szCs w:val="28"/>
        </w:rPr>
      </w:r>
      <w:r>
        <w:rPr>
          <w:rFonts w:ascii="Times New Roman" w:hAnsi="Times New Roman" w:cs="Times New Roman"/>
          <w:b/>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По состоянию на</w:t>
      </w:r>
      <w:r>
        <w:rPr>
          <w:rFonts w:ascii="Times New Roman" w:hAnsi="Times New Roman" w:cs="Times New Roman"/>
          <w:sz w:val="28"/>
          <w:szCs w:val="28"/>
        </w:rPr>
        <w:t xml:space="preserve"> 1 января 2026 </w:t>
      </w:r>
      <w:r>
        <w:rPr>
          <w:rFonts w:ascii="Times New Roman" w:hAnsi="Times New Roman" w:cs="Times New Roman"/>
          <w:sz w:val="28"/>
          <w:szCs w:val="28"/>
        </w:rPr>
        <w:t xml:space="preserve">г. для проведения Федеральным казн</w:t>
      </w:r>
      <w:r>
        <w:rPr>
          <w:rFonts w:ascii="Times New Roman" w:hAnsi="Times New Roman" w:cs="Times New Roman"/>
          <w:sz w:val="28"/>
          <w:szCs w:val="28"/>
        </w:rPr>
        <w:t xml:space="preserve">ачейством в системе казначейских платежей операций участников системы казначейских платежей с денежными средствами в Управлении открыт 671 казначейский счет соответствующего вида. Для учета операций за счет средств, находящихся на соответствующем казначейс</w:t>
      </w:r>
      <w:r>
        <w:rPr>
          <w:rFonts w:ascii="Times New Roman" w:hAnsi="Times New Roman" w:cs="Times New Roman"/>
          <w:sz w:val="28"/>
          <w:szCs w:val="28"/>
        </w:rPr>
        <w:t xml:space="preserve">ком счете, в Управлении открыто</w:t>
      </w:r>
      <w:r>
        <w:rPr>
          <w:rFonts w:ascii="Times New Roman" w:hAnsi="Times New Roman" w:cs="Times New Roman"/>
          <w:sz w:val="28"/>
          <w:szCs w:val="28"/>
        </w:rPr>
        <w:br/>
      </w:r>
      <w:r>
        <w:rPr>
          <w:rFonts w:ascii="Times New Roman" w:hAnsi="Times New Roman" w:cs="Times New Roman"/>
          <w:sz w:val="28"/>
          <w:szCs w:val="28"/>
        </w:rPr>
        <w:t xml:space="preserve">4</w:t>
      </w:r>
      <w:r>
        <w:rPr>
          <w:rFonts w:ascii="Times New Roman" w:hAnsi="Times New Roman" w:cs="Times New Roman"/>
          <w:sz w:val="28"/>
          <w:szCs w:val="28"/>
        </w:rPr>
        <w:t xml:space="preserve"> </w:t>
      </w:r>
      <w:r>
        <w:rPr>
          <w:rFonts w:ascii="Times New Roman" w:hAnsi="Times New Roman" w:cs="Times New Roman"/>
          <w:sz w:val="28"/>
          <w:szCs w:val="28"/>
        </w:rPr>
        <w:t xml:space="preserve">085 лицевых счетов прямым участникам системы казначейских платежей.</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Визуальное отображение количества лицевых счетов, открытых в Управлении клиентам представлено на диаграмме 1.</w:t>
      </w:r>
      <w:r>
        <w:rPr>
          <w:rFonts w:ascii="Times New Roman" w:hAnsi="Times New Roman" w:cs="Times New Roman"/>
          <w:sz w:val="28"/>
          <w:szCs w:val="28"/>
        </w:rPr>
      </w:r>
      <w:r>
        <w:rPr>
          <w:rFonts w:ascii="Times New Roman" w:hAnsi="Times New Roman" w:cs="Times New Roman"/>
          <w:sz w:val="28"/>
          <w:szCs w:val="28"/>
        </w:rPr>
      </w:r>
    </w:p>
    <w:p>
      <w:pPr>
        <w:contextualSpacing/>
        <w:jc w:val="center"/>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contextualSpacing/>
        <w:jc w:val="center"/>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contextualSpacing/>
        <w:jc w:val="center"/>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contextualSpacing/>
        <w:jc w:val="center"/>
        <w:spacing w:after="0" w:line="240" w:lineRule="auto"/>
        <w:rPr>
          <w:rFonts w:ascii="Times New Roman" w:hAnsi="Times New Roman" w:cs="Times New Roman"/>
          <w:sz w:val="28"/>
          <w:szCs w:val="28"/>
        </w:rPr>
      </w:pPr>
      <w:r>
        <w:rPr>
          <w:lang w:eastAsia="ru-RU"/>
        </w:rPr>
      </w:r>
      <w:r>
        <mc:AlternateContent>
          <mc:Choice Requires="wpg">
            <w:drawing>
              <wp:inline xmlns:wp="http://schemas.openxmlformats.org/drawingml/2006/wordprocessingDrawing" distT="0" distB="0" distL="0" distR="0">
                <wp:extent cx="6228080" cy="4439437"/>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647560" name=""/>
                        <pic:cNvPicPr>
                          <a:picLocks noChangeAspect="1"/>
                        </pic:cNvPicPr>
                        <pic:nvPr/>
                      </pic:nvPicPr>
                      <pic:blipFill>
                        <a:blip r:embed="rId12"/>
                        <a:stretch/>
                      </pic:blipFill>
                      <pic:spPr bwMode="auto">
                        <a:xfrm>
                          <a:off x="0" y="0"/>
                          <a:ext cx="6228079" cy="443943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490.40pt;height:349.56pt;mso-wrap-distance-left:0.00pt;mso-wrap-distance-top:0.00pt;mso-wrap-distance-right:0.00pt;mso-wrap-distance-bottom:0.00pt;" stroked="false">
                <v:path textboxrect="0,0,0,0"/>
                <v:imagedata r:id="rId12" o:title=""/>
              </v:shape>
            </w:pict>
          </mc:Fallback>
        </mc:AlternateContent>
      </w:r>
      <w:r>
        <w:rPr>
          <w:rFonts w:ascii="Times New Roman" w:hAnsi="Times New Roman" w:cs="Times New Roman"/>
          <w:sz w:val="28"/>
          <w:szCs w:val="28"/>
        </w:rPr>
      </w:r>
      <w:r>
        <w:rPr>
          <w:rFonts w:ascii="Times New Roman" w:hAnsi="Times New Roman" w:cs="Times New Roman"/>
          <w:sz w:val="28"/>
          <w:szCs w:val="28"/>
        </w:rPr>
      </w:r>
    </w:p>
    <w:p>
      <w:pPr>
        <w:contextualSpacing/>
        <w:jc w:val="cente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Диаграмма 1. Количество лицевых счетов в разрезе бюджетов бюджетной системы Российской Федерации, открытых в Управлении по состоянию </w:t>
      </w:r>
      <w:r>
        <w:rPr>
          <w:rFonts w:ascii="Times New Roman" w:hAnsi="Times New Roman" w:cs="Times New Roman"/>
          <w:sz w:val="28"/>
          <w:szCs w:val="28"/>
        </w:rPr>
        <w:br/>
        <w:t xml:space="preserve">на 1 января 202</w:t>
      </w:r>
      <w:r>
        <w:rPr>
          <w:rFonts w:ascii="Times New Roman" w:hAnsi="Times New Roman" w:cs="Times New Roman"/>
          <w:sz w:val="28"/>
          <w:szCs w:val="28"/>
        </w:rPr>
        <w:t xml:space="preserve">6</w:t>
      </w:r>
      <w:r>
        <w:rPr>
          <w:rFonts w:ascii="Times New Roman" w:hAnsi="Times New Roman" w:cs="Times New Roman"/>
          <w:sz w:val="28"/>
          <w:szCs w:val="28"/>
        </w:rPr>
        <w:t xml:space="preserve"> г., шт.</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sz w:val="28"/>
          <w:szCs w:val="28"/>
        </w:rPr>
        <w:t xml:space="preserve">Всего</w:t>
      </w:r>
      <w:r>
        <w:rPr>
          <w:rFonts w:ascii="Times New Roman" w:hAnsi="Times New Roman"/>
          <w:sz w:val="28"/>
          <w:szCs w:val="28"/>
        </w:rPr>
        <w:t xml:space="preserve"> за 2025 год учтено более 505,8 </w:t>
      </w:r>
      <w:r>
        <w:rPr>
          <w:rFonts w:ascii="Times New Roman" w:hAnsi="Times New Roman"/>
          <w:sz w:val="28"/>
          <w:szCs w:val="28"/>
        </w:rPr>
        <w:t xml:space="preserve">тыс. бюджетных и денежных обязательств получателей средств федерального бюджета, 1</w:t>
      </w:r>
      <w:r>
        <w:rPr>
          <w:rFonts w:ascii="Times New Roman" w:hAnsi="Times New Roman"/>
          <w:sz w:val="28"/>
          <w:szCs w:val="28"/>
          <w:lang w:val="en-US"/>
        </w:rPr>
        <w:t xml:space="preserve"> </w:t>
      </w:r>
      <w:r>
        <w:rPr>
          <w:rFonts w:ascii="Times New Roman" w:hAnsi="Times New Roman"/>
          <w:sz w:val="28"/>
          <w:szCs w:val="28"/>
        </w:rPr>
        <w:t xml:space="preserve">461,5 </w:t>
      </w:r>
      <w:r>
        <w:rPr>
          <w:rFonts w:ascii="Times New Roman" w:hAnsi="Times New Roman"/>
          <w:sz w:val="28"/>
          <w:szCs w:val="28"/>
        </w:rPr>
        <w:t xml:space="preserve">тыс. бюджетных и денежных обязательств на лицевом счете получателя средств бюджета фонда пенсионного и социального страхования Российской Федерации - отделения Фонда пенсионного и социального страхования Российской Федерации по Челябинской области</w:t>
      </w:r>
      <w:r>
        <w:rPr>
          <w:rFonts w:ascii="Times New Roman" w:hAnsi="Times New Roman"/>
          <w:sz w:val="28"/>
          <w:szCs w:val="28"/>
        </w:rPr>
        <w:t xml:space="preserve">, </w:t>
      </w:r>
      <w:r>
        <w:rPr>
          <w:rFonts w:ascii="Times New Roman" w:hAnsi="Times New Roman"/>
          <w:sz w:val="28"/>
          <w:szCs w:val="28"/>
        </w:rPr>
        <w:t xml:space="preserve">21,3</w:t>
      </w:r>
      <w:r>
        <w:rPr>
          <w:rFonts w:ascii="Times New Roman" w:hAnsi="Times New Roman"/>
          <w:sz w:val="28"/>
          <w:szCs w:val="28"/>
        </w:rPr>
        <w:t xml:space="preserve"> </w:t>
      </w:r>
      <w:r>
        <w:rPr>
          <w:rFonts w:ascii="Times New Roman" w:hAnsi="Times New Roman"/>
          <w:sz w:val="28"/>
          <w:szCs w:val="28"/>
        </w:rPr>
        <w:t xml:space="preserve">тыс. бюджетных</w:t>
      </w:r>
      <w:r>
        <w:rPr>
          <w:rFonts w:ascii="Times New Roman" w:hAnsi="Times New Roman"/>
          <w:sz w:val="28"/>
          <w:szCs w:val="28"/>
        </w:rPr>
        <w:t xml:space="preserve"> и денежных</w:t>
      </w:r>
      <w:r>
        <w:rPr>
          <w:rFonts w:ascii="Times New Roman" w:hAnsi="Times New Roman"/>
          <w:sz w:val="28"/>
          <w:szCs w:val="28"/>
        </w:rPr>
        <w:t xml:space="preserve"> обязательств</w:t>
      </w:r>
      <w:r>
        <w:rPr>
          <w:rFonts w:ascii="Times New Roman" w:hAnsi="Times New Roman" w:cs="Times New Roman"/>
          <w:sz w:val="28"/>
          <w:szCs w:val="28"/>
        </w:rPr>
        <w:t xml:space="preserve"> получателей средств местного бюджета.</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pPr>
      <w:r>
        <w:rPr>
          <w:rFonts w:ascii="Times New Roman" w:hAnsi="Times New Roman"/>
          <w:sz w:val="28"/>
          <w:szCs w:val="28"/>
        </w:rPr>
        <w:t xml:space="preserve">В истекшем году при проведении платежных (кассовых) операций на лицевых счетах клиентов Управлением обеспечено исполнение </w:t>
      </w:r>
      <w:r>
        <w:rPr>
          <w:rFonts w:ascii="Times New Roman" w:hAnsi="Times New Roman"/>
          <w:sz w:val="28"/>
          <w:szCs w:val="28"/>
        </w:rPr>
        <w:t xml:space="preserve">1 </w:t>
      </w:r>
      <w:r>
        <w:rPr>
          <w:rFonts w:ascii="Times New Roman" w:hAnsi="Times New Roman"/>
          <w:sz w:val="28"/>
          <w:szCs w:val="28"/>
        </w:rPr>
        <w:t xml:space="preserve">048 исполнительных документов на сумму 205,1 млн. рублей, предусматривающих обращение взыскания на средства бюджетов бюджетной системы Российской Федерации (далее – бюджеты) по денежным обязательствам получателей бюджетных средств и на средства федеральных</w:t>
      </w:r>
      <w:r>
        <w:rPr>
          <w:rFonts w:ascii="Times New Roman" w:hAnsi="Times New Roman"/>
          <w:sz w:val="28"/>
          <w:szCs w:val="28"/>
        </w:rPr>
        <w:t xml:space="preserve"> </w:t>
      </w:r>
      <w:r>
        <w:rPr>
          <w:rFonts w:ascii="Times New Roman" w:hAnsi="Times New Roman"/>
          <w:sz w:val="28"/>
          <w:szCs w:val="28"/>
        </w:rPr>
        <w:t xml:space="preserve">(муниципальных) бюджетных и автономных учреждений и 21 Решение о взыскании задолженности за счет денежных средств, отраженных на лицевых счетах налогоплательщика (плательщика сбора, плательщика страховых взносов, налогового агента, иного лица) на сумму 21,</w:t>
      </w:r>
      <w:r>
        <w:rPr>
          <w:rFonts w:ascii="Times New Roman" w:hAnsi="Times New Roman"/>
          <w:sz w:val="28"/>
          <w:szCs w:val="28"/>
        </w:rPr>
        <w:t xml:space="preserve">2 млн. рублей</w:t>
      </w:r>
      <w:r>
        <w:rPr>
          <w:rFonts w:ascii="Times New Roman" w:hAnsi="Times New Roman" w:cs="Times New Roman"/>
          <w:sz w:val="28"/>
          <w:szCs w:val="28"/>
        </w:rPr>
        <w:t xml:space="preserve">.</w:t>
      </w:r>
      <w:r>
        <w:rPr>
          <w:rFonts w:ascii="Times New Roman" w:hAnsi="Times New Roman"/>
          <w:sz w:val="28"/>
          <w:szCs w:val="28"/>
        </w:rPr>
      </w: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Клиентами Управления успешно используется сервис перечисления денежных средств по реквизитам банковских карт «Мир» при осуществлении зарплатных и иных схожих по своему содержанию выплат. </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2025 году сервис перечисления денежных средств по реквизитам банковских карт «Мир» физических лиц применяли: </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отделение Фонда пенсионного и социального страхования Российской Федерации по Челябинской области: 3</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738 распоряжений о перечислении денежных средств на банковские карты «Мир» физических лиц на</w:t>
      </w:r>
      <w:r>
        <w:rPr>
          <w:rFonts w:ascii="Times New Roman" w:hAnsi="Times New Roman" w:cs="Times New Roman"/>
          <w:sz w:val="28"/>
          <w:szCs w:val="28"/>
        </w:rPr>
        <w:t xml:space="preserve"> сумму</w:t>
      </w:r>
      <w:r>
        <w:rPr>
          <w:rFonts w:ascii="Times New Roman" w:hAnsi="Times New Roman" w:cs="Times New Roman"/>
          <w:sz w:val="28"/>
          <w:szCs w:val="28"/>
        </w:rPr>
        <w:br/>
        <w:t xml:space="preserve">2 </w:t>
      </w:r>
      <w:r>
        <w:rPr>
          <w:rFonts w:ascii="Times New Roman" w:hAnsi="Times New Roman" w:cs="Times New Roman"/>
          <w:sz w:val="28"/>
          <w:szCs w:val="28"/>
        </w:rPr>
        <w:t xml:space="preserve">888,5 млн. руб.;</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41 казенное учреждение – получатели средств федерального бюджета, лицевые счета которых обслуживаются Управлением, подведомственные Федеральной налоговой службе, Федеральному медико-биологическому агентству, Федеральной службе в</w:t>
      </w:r>
      <w:r>
        <w:rPr>
          <w:rFonts w:ascii="Times New Roman" w:hAnsi="Times New Roman" w:cs="Times New Roman"/>
          <w:sz w:val="28"/>
          <w:szCs w:val="28"/>
        </w:rPr>
        <w:t xml:space="preserve">ойск национальной гвардии Российской Федерации, Министерству транспорта Российской Федерации, Федеральной службе по надзору в сфере здравоохранения, Федеральному агентству по управлению государственным имуществом, Министерству внутренних дел Российской Фед</w:t>
      </w:r>
      <w:r>
        <w:rPr>
          <w:rFonts w:ascii="Times New Roman" w:hAnsi="Times New Roman" w:cs="Times New Roman"/>
          <w:sz w:val="28"/>
          <w:szCs w:val="28"/>
        </w:rPr>
        <w:t xml:space="preserve">ерации, Министерству финансов Российской Федерации, Судебному департаменту при Верховном Суде Российской Федерации, Федеральной антимонопольной службе, Федеральной службе государственной регистрации, кадастра и картографии, Федеральной службе исполнения на</w:t>
      </w:r>
      <w:r>
        <w:rPr>
          <w:rFonts w:ascii="Times New Roman" w:hAnsi="Times New Roman" w:cs="Times New Roman"/>
          <w:sz w:val="28"/>
          <w:szCs w:val="28"/>
        </w:rPr>
        <w:t xml:space="preserve">казаний, Федеральной службе государственной статистики, Федеральной службе по ветеринарному и фитосанитарному надзору, Федеральной службе по надзору в сфере связи, информационных технологий и массовых коммуникаций, Федеральной службе по труду и занятости, </w:t>
      </w:r>
      <w:r>
        <w:rPr>
          <w:rFonts w:ascii="Times New Roman" w:hAnsi="Times New Roman" w:cs="Times New Roman"/>
          <w:sz w:val="28"/>
          <w:szCs w:val="28"/>
        </w:rPr>
        <w:t xml:space="preserve">Федеральной таможенной службе, Федеральному агентству по государственным резервам, Федеральному дорожному агентству, Министерству труда и социальной защиты Российской Федерации, Министерству обороны Российской Федерации,  Государственной фельдъегерской слу</w:t>
      </w:r>
      <w:r>
        <w:rPr>
          <w:rFonts w:ascii="Times New Roman" w:hAnsi="Times New Roman" w:cs="Times New Roman"/>
          <w:sz w:val="28"/>
          <w:szCs w:val="28"/>
        </w:rPr>
        <w:t xml:space="preserve">жбе Российской Федерации: 12 </w:t>
      </w:r>
      <w:r>
        <w:rPr>
          <w:rFonts w:ascii="Times New Roman" w:hAnsi="Times New Roman" w:cs="Times New Roman"/>
          <w:sz w:val="28"/>
          <w:szCs w:val="28"/>
        </w:rPr>
        <w:t xml:space="preserve">250 распоряжений о перечислении денежных средств на банковские карты «</w:t>
      </w:r>
      <w:r>
        <w:rPr>
          <w:rFonts w:ascii="Times New Roman" w:hAnsi="Times New Roman" w:cs="Times New Roman"/>
          <w:sz w:val="28"/>
          <w:szCs w:val="28"/>
        </w:rPr>
        <w:t xml:space="preserve">Мир» физических лиц на сумму 16 </w:t>
      </w:r>
      <w:r>
        <w:rPr>
          <w:rFonts w:ascii="Times New Roman" w:hAnsi="Times New Roman" w:cs="Times New Roman"/>
          <w:sz w:val="28"/>
          <w:szCs w:val="28"/>
        </w:rPr>
        <w:t xml:space="preserve">607,7 млн. руб.;</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highlight w:val="none"/>
        </w:rPr>
      </w:pPr>
      <w:r>
        <w:rPr>
          <w:rFonts w:ascii="Times New Roman" w:hAnsi="Times New Roman" w:cs="Times New Roman"/>
          <w:sz w:val="28"/>
          <w:szCs w:val="28"/>
        </w:rPr>
        <w:t xml:space="preserve">- </w:t>
      </w:r>
      <w:r>
        <w:rPr>
          <w:rFonts w:ascii="Times New Roman" w:hAnsi="Times New Roman" w:cs="Times New Roman"/>
          <w:sz w:val="28"/>
          <w:szCs w:val="28"/>
        </w:rPr>
        <w:t xml:space="preserve">11 федеральных бюджетных (автономных) учреждений, подведомственных Федеральному медик</w:t>
      </w:r>
      <w:r>
        <w:rPr>
          <w:rFonts w:ascii="Times New Roman" w:hAnsi="Times New Roman" w:cs="Times New Roman"/>
          <w:sz w:val="28"/>
          <w:szCs w:val="28"/>
        </w:rPr>
        <w:t xml:space="preserve">о-биологическому агентству, Министерству сельского хозяйства Российской Федерации, Министерству науки и высшего образования Российской Федерации, Управлению делами Президента Российской Федерации, Федеральной службы по надзору в сфере природопользования: 1</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176 распоряжений о перечислении денежных средств на банковские карты «Мир» физических лиц на сумму 310,9 млн. руб.</w:t>
      </w:r>
      <w:r>
        <w:rPr>
          <w:rFonts w:ascii="Times New Roman" w:hAnsi="Times New Roman" w:cs="Times New Roman"/>
          <w:sz w:val="28"/>
          <w:szCs w:val="28"/>
        </w:rPr>
        <w:t xml:space="preserve">;</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contextualSpacing/>
        <w:ind w:firstLine="709"/>
        <w:jc w:val="both"/>
        <w:spacing w:after="0" w:line="240" w:lineRule="auto"/>
      </w:pPr>
      <w:r>
        <w:rPr>
          <w:rFonts w:ascii="Times New Roman" w:hAnsi="Times New Roman" w:cs="Times New Roman"/>
          <w:sz w:val="28"/>
          <w:szCs w:val="28"/>
          <w:highlight w:val="none"/>
        </w:rPr>
        <w:t xml:space="preserve">- Министерство финансов Челябинской области: 4 754 распоряжения о перечислении денежных средств на банковские карты «Мир» физических лиц на сумму 417,5 млн. руб.;</w:t>
      </w:r>
      <w:r>
        <w:rPr>
          <w:rFonts w:ascii="Times New Roman" w:hAnsi="Times New Roman" w:cs="Times New Roman"/>
          <w:sz w:val="28"/>
          <w:szCs w:val="28"/>
          <w:highlight w:val="none"/>
        </w:rPr>
      </w: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highlight w:val="none"/>
        </w:rPr>
        <w:t xml:space="preserve">- 2 муниципальных бюджетных учреждения и 1 казенное учреждение бюджета Озерского городского округа: 201 распоряжение о перечислении денежных средств на банковские карты «Мир» физических лиц на сумму на сумму 6,3 млн. руб.</w:t>
      </w:r>
      <w:r>
        <w:rPr>
          <w:rFonts w:ascii="Times New Roman" w:hAnsi="Times New Roman" w:cs="Times New Roman"/>
          <w:sz w:val="28"/>
          <w:szCs w:val="28"/>
          <w:highlight w:val="none"/>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Среднее время обработки поступивших документов в Управлении составляет 15-30 мин.</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соответствии с пунктами 9, 12, 12.1 Постановления Правительства Российской Фед</w:t>
      </w:r>
      <w:r>
        <w:rPr>
          <w:rFonts w:ascii="Times New Roman" w:hAnsi="Times New Roman" w:cs="Times New Roman"/>
          <w:sz w:val="28"/>
          <w:szCs w:val="28"/>
        </w:rPr>
        <w:t xml:space="preserve">ерации от 9 декабря 2017 г. № </w:t>
      </w:r>
      <w:r>
        <w:rPr>
          <w:rFonts w:ascii="Times New Roman" w:hAnsi="Times New Roman" w:cs="Times New Roman"/>
          <w:sz w:val="28"/>
          <w:szCs w:val="28"/>
        </w:rPr>
        <w:t xml:space="preserve">1496 «О мерах по обеспечению исполнения федерального бюджета» (далее – Постановление 1496) в </w:t>
      </w:r>
      <w:r>
        <w:rPr>
          <w:rFonts w:ascii="Times New Roman" w:hAnsi="Times New Roman" w:cs="Times New Roman"/>
          <w:sz w:val="28"/>
          <w:szCs w:val="28"/>
        </w:rPr>
        <w:t xml:space="preserve">2025 году Управлением обеспечен отзыв неиспользованных лимитов бюджетных обязательств, доведенных для исполнения обязательств по оплате заключенных государственных контрактов на поставку товаров, выполнение работ, оказание услуг в объеме 960,5 тыс. рублей.</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Кроме того, в декабре 2025 года в рамках обеспечения реализации мероприятий, предусмотренных пунктом 15(1) Постановления 1496, в целях увеличения бюджетных ассигно</w:t>
      </w:r>
      <w:r>
        <w:rPr>
          <w:rFonts w:ascii="Times New Roman" w:hAnsi="Times New Roman" w:cs="Times New Roman"/>
          <w:sz w:val="28"/>
          <w:szCs w:val="28"/>
        </w:rPr>
        <w:t xml:space="preserve">ваний резервного фонда Правительства Российской Федерации, Управлением обеспечен отзыв лимитов бюджетных обязательств с лицевых счетов, открытых получателям средств федерального бюджета, в адрес главных распорядителей (распорядителей) средств федерального </w:t>
      </w:r>
      <w:r>
        <w:rPr>
          <w:rFonts w:ascii="Times New Roman" w:hAnsi="Times New Roman" w:cs="Times New Roman"/>
          <w:sz w:val="28"/>
          <w:szCs w:val="28"/>
        </w:rPr>
        <w:t xml:space="preserve">бюджета в объеме 179,0 тыс. руб</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sz w:val="28"/>
          <w:szCs w:val="28"/>
          <w:lang w:eastAsia="ru-RU"/>
        </w:rPr>
        <w:t xml:space="preserve">В 2025 году велась работа по уточнению невыясненных</w:t>
      </w:r>
      <w:r>
        <w:rPr>
          <w:rFonts w:ascii="Times New Roman" w:hAnsi="Times New Roman"/>
          <w:sz w:val="28"/>
          <w:szCs w:val="28"/>
          <w:lang w:eastAsia="ru-RU"/>
        </w:rPr>
        <w:t xml:space="preserve"> поступлений по платежам, поступившим на счета, открытые Управлению для учета операций со средствами федерального бюджета, со средствами, поступающими во временное распоряжение получателей средств федерального бюджета, средствами федеральных бюджетных (авт</w:t>
      </w:r>
      <w:r>
        <w:rPr>
          <w:rFonts w:ascii="Times New Roman" w:hAnsi="Times New Roman"/>
          <w:sz w:val="28"/>
          <w:szCs w:val="28"/>
          <w:lang w:eastAsia="ru-RU"/>
        </w:rPr>
        <w:t xml:space="preserve">ономных) учреждений: направлено</w:t>
      </w:r>
      <w:r>
        <w:rPr>
          <w:rFonts w:ascii="Times New Roman" w:hAnsi="Times New Roman"/>
          <w:sz w:val="28"/>
          <w:szCs w:val="28"/>
          <w:lang w:eastAsia="ru-RU"/>
        </w:rPr>
        <w:br/>
        <w:t xml:space="preserve">20,1 </w:t>
      </w:r>
      <w:r>
        <w:rPr>
          <w:rFonts w:ascii="Times New Roman" w:hAnsi="Times New Roman"/>
          <w:sz w:val="28"/>
          <w:szCs w:val="28"/>
          <w:lang w:eastAsia="ru-RU"/>
        </w:rPr>
        <w:t xml:space="preserve">тыс. Запросов на выяснение принадлежности платежа предполагаемым получателям бюджетных средств, проведено 20,0 тыс. операций по уточнению и 0,4 тыс. операций по возврату невыясненных платежей</w:t>
      </w:r>
      <w:r>
        <w:rPr>
          <w:rFonts w:ascii="Times New Roman" w:hAnsi="Times New Roman"/>
          <w:sz w:val="28"/>
          <w:szCs w:val="28"/>
          <w:lang w:eastAsia="ru-RU"/>
        </w:rPr>
        <w:t xml:space="preserve">.</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871"/>
        <w:contextualSpacing/>
        <w:jc w:val="both"/>
        <w:spacing w:before="0"/>
        <w:rPr>
          <w:rFonts w:ascii="Times New Roman" w:hAnsi="Times New Roman" w:cs="Times New Roman"/>
          <w:b/>
          <w:color w:val="auto"/>
          <w:sz w:val="28"/>
          <w:szCs w:val="28"/>
        </w:rPr>
      </w:pPr>
      <w:r/>
      <w:bookmarkStart w:id="4" w:name="_Toc4"/>
      <w:r>
        <w:rPr>
          <w:rFonts w:ascii="Times New Roman" w:hAnsi="Times New Roman" w:cs="Times New Roman"/>
          <w:b/>
          <w:color w:val="auto"/>
          <w:sz w:val="28"/>
          <w:szCs w:val="28"/>
        </w:rPr>
        <w:t xml:space="preserve">2.2. Предоставление бюджетных кредитов на пополнение остатков средств на едином счете </w:t>
      </w:r>
      <w:r>
        <w:rPr>
          <w:rFonts w:ascii="Times New Roman" w:hAnsi="Times New Roman" w:cs="Times New Roman"/>
          <w:b/>
          <w:color w:val="auto"/>
          <w:sz w:val="28"/>
          <w:szCs w:val="28"/>
        </w:rPr>
        <w:t xml:space="preserve">бюджета</w:t>
      </w:r>
      <w:r>
        <w:rPr>
          <w:rFonts w:ascii="Times New Roman" w:hAnsi="Times New Roman" w:cs="Times New Roman"/>
          <w:b/>
          <w:color w:val="auto"/>
          <w:sz w:val="28"/>
          <w:szCs w:val="28"/>
        </w:rPr>
      </w:r>
      <w:bookmarkEnd w:id="4"/>
      <w:r>
        <w:rPr>
          <w:rFonts w:ascii="Times New Roman" w:hAnsi="Times New Roman" w:cs="Times New Roman"/>
          <w:b/>
          <w:color w:val="auto"/>
          <w:sz w:val="28"/>
          <w:szCs w:val="28"/>
        </w:rPr>
      </w:r>
      <w:r>
        <w:rPr>
          <w:rFonts w:ascii="Times New Roman" w:hAnsi="Times New Roman" w:cs="Times New Roman"/>
          <w:b/>
          <w:color w:val="auto"/>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2025 году Управлением велась работа по реализации механизма предоставления бюджетных кредитов. В отчетном году с Министерством финансов Челяб</w:t>
      </w:r>
      <w:r>
        <w:rPr>
          <w:rFonts w:ascii="Times New Roman" w:hAnsi="Times New Roman" w:cs="Times New Roman"/>
          <w:sz w:val="28"/>
          <w:szCs w:val="28"/>
        </w:rPr>
        <w:t xml:space="preserve">инской области заключен Договор</w:t>
      </w:r>
      <w:r>
        <w:rPr>
          <w:rFonts w:ascii="Times New Roman" w:hAnsi="Times New Roman" w:cs="Times New Roman"/>
          <w:sz w:val="28"/>
          <w:szCs w:val="28"/>
        </w:rPr>
        <w:br/>
      </w:r>
      <w:r>
        <w:rPr>
          <w:rFonts w:ascii="Times New Roman" w:hAnsi="Times New Roman" w:cs="Times New Roman"/>
          <w:sz w:val="28"/>
          <w:szCs w:val="28"/>
        </w:rPr>
        <w:t xml:space="preserve">от 14.03.2025 № 69-12-86/15-104 на предоставление бюджетного кредита на пополнение остатка средств на </w:t>
      </w:r>
      <w:r>
        <w:rPr>
          <w:rFonts w:ascii="Times New Roman" w:hAnsi="Times New Roman" w:cs="Times New Roman"/>
          <w:sz w:val="28"/>
          <w:szCs w:val="28"/>
        </w:rPr>
        <w:t xml:space="preserve">едином счете бюджета с лимитом</w:t>
      </w:r>
      <w:r>
        <w:rPr>
          <w:rFonts w:ascii="Times New Roman" w:hAnsi="Times New Roman" w:cs="Times New Roman"/>
          <w:sz w:val="28"/>
          <w:szCs w:val="28"/>
        </w:rPr>
        <w:br/>
      </w:r>
      <w:r>
        <w:rPr>
          <w:rFonts w:ascii="Times New Roman" w:hAnsi="Times New Roman" w:cs="Times New Roman"/>
          <w:sz w:val="28"/>
          <w:szCs w:val="28"/>
        </w:rPr>
        <w:t xml:space="preserve">25,587 млрд. рублей. К Договору были заключены Дополнительные соглашения на уменьшения лимита на кредитные средс</w:t>
      </w:r>
      <w:r>
        <w:rPr>
          <w:rFonts w:ascii="Times New Roman" w:hAnsi="Times New Roman" w:cs="Times New Roman"/>
          <w:sz w:val="28"/>
          <w:szCs w:val="28"/>
        </w:rPr>
        <w:t xml:space="preserve">тва от 21.11.2025 № 2 с лимитом</w:t>
      </w:r>
      <w:r>
        <w:rPr>
          <w:rFonts w:ascii="Times New Roman" w:hAnsi="Times New Roman" w:cs="Times New Roman"/>
          <w:sz w:val="28"/>
          <w:szCs w:val="28"/>
        </w:rPr>
        <w:br/>
      </w:r>
      <w:r>
        <w:rPr>
          <w:rFonts w:ascii="Times New Roman" w:hAnsi="Times New Roman" w:cs="Times New Roman"/>
          <w:sz w:val="28"/>
          <w:szCs w:val="28"/>
        </w:rPr>
        <w:t xml:space="preserve">24,305 млрд. рублей и от 30.12.2025 № 2 с лимитом 24,280 млрд. рублей. </w:t>
      </w:r>
      <w:r>
        <w:rPr>
          <w:rFonts w:ascii="Times New Roman" w:hAnsi="Times New Roman" w:eastAsia="Times New Roman" w:cs="Times New Roman"/>
          <w:color w:val="000000"/>
          <w:sz w:val="28"/>
        </w:rPr>
        <w:t xml:space="preserve">Выдача бюджетного кредита в 2025 году не осуществлялась ввиду отсутствия потребности</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871"/>
        <w:contextualSpacing/>
        <w:jc w:val="both"/>
        <w:spacing w:before="0" w:line="240" w:lineRule="auto"/>
        <w:rPr>
          <w:rFonts w:ascii="Times New Roman" w:hAnsi="Times New Roman" w:cs="Times New Roman"/>
          <w:b/>
          <w:color w:val="auto"/>
          <w:sz w:val="28"/>
          <w:szCs w:val="28"/>
        </w:rPr>
      </w:pPr>
      <w:r/>
      <w:bookmarkStart w:id="5" w:name="_Toc5"/>
      <w:r>
        <w:rPr>
          <w:rFonts w:ascii="Times New Roman" w:hAnsi="Times New Roman" w:cs="Times New Roman"/>
          <w:b/>
          <w:color w:val="auto"/>
          <w:sz w:val="28"/>
          <w:szCs w:val="28"/>
        </w:rPr>
        <w:t xml:space="preserve">2.3</w:t>
      </w:r>
      <w:r>
        <w:rPr>
          <w:rFonts w:ascii="Times New Roman" w:hAnsi="Times New Roman" w:cs="Times New Roman"/>
          <w:b/>
          <w:color w:val="auto"/>
          <w:sz w:val="28"/>
          <w:szCs w:val="28"/>
        </w:rPr>
        <w:t xml:space="preserve">. Осуществление учета поступлений в бюджетную систему Российской Федерации и их распределение между бюджетами</w:t>
      </w:r>
      <w:r>
        <w:rPr>
          <w:rFonts w:ascii="Times New Roman" w:hAnsi="Times New Roman" w:cs="Times New Roman"/>
          <w:b/>
          <w:color w:val="auto"/>
          <w:sz w:val="28"/>
          <w:szCs w:val="28"/>
        </w:rPr>
      </w:r>
      <w:bookmarkEnd w:id="5"/>
      <w:r>
        <w:rPr>
          <w:rFonts w:ascii="Times New Roman" w:hAnsi="Times New Roman" w:cs="Times New Roman"/>
          <w:b/>
          <w:color w:val="auto"/>
          <w:sz w:val="28"/>
          <w:szCs w:val="28"/>
        </w:rPr>
      </w:r>
      <w:r>
        <w:rPr>
          <w:rFonts w:ascii="Times New Roman" w:hAnsi="Times New Roman" w:cs="Times New Roman"/>
          <w:b/>
          <w:color w:val="auto"/>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Всего в 2025 году на территории Челябинской области поступило, распределено и перечислено доходов в бюджеты бюджетной системы Российской Федерации 341,7 млрд. рублей.</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Для учета операций администраторов доходов бюджетов в Управлении по состоянию на 1 января 2026 г. было открыто и обслуживалось</w:t>
      </w:r>
      <w:r>
        <w:rPr>
          <w:rFonts w:ascii="Times New Roman" w:hAnsi="Times New Roman" w:cs="Times New Roman"/>
          <w:sz w:val="28"/>
          <w:szCs w:val="28"/>
        </w:rPr>
        <w:br/>
        <w:t xml:space="preserve">1 317 соответствующих лицевых счет</w:t>
      </w:r>
      <w:r>
        <w:rPr>
          <w:rFonts w:ascii="Times New Roman" w:hAnsi="Times New Roman" w:cs="Times New Roman"/>
          <w:sz w:val="28"/>
          <w:szCs w:val="28"/>
        </w:rPr>
        <w:t xml:space="preserve">ов</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120" w:line="240" w:lineRule="auto"/>
        <w:rPr>
          <w:rFonts w:ascii="Times New Roman" w:hAnsi="Times New Roman" w:cs="Times New Roman"/>
          <w:sz w:val="28"/>
          <w:szCs w:val="28"/>
        </w:rPr>
      </w:pPr>
      <w:r>
        <w:rPr>
          <w:rFonts w:ascii="Times New Roman" w:hAnsi="Times New Roman" w:cs="Times New Roman"/>
          <w:sz w:val="28"/>
          <w:szCs w:val="28"/>
        </w:rPr>
        <w:t xml:space="preserve">Структура поступлений в бюджеты на территории Челябинской области и структура их распределения между бюджетами на территории Челябинской области в 2025 году представлены на диаграмме 2.</w:t>
      </w:r>
      <w:r>
        <w:rPr>
          <w:rFonts w:ascii="Times New Roman" w:hAnsi="Times New Roman" w:cs="Times New Roman"/>
          <w:sz w:val="28"/>
          <w:szCs w:val="28"/>
        </w:rPr>
      </w:r>
      <w:r>
        <w:rPr>
          <w:rFonts w:ascii="Times New Roman" w:hAnsi="Times New Roman" w:cs="Times New Roman"/>
          <w:sz w:val="28"/>
          <w:szCs w:val="28"/>
        </w:rPr>
      </w:r>
    </w:p>
    <w:p>
      <w:pPr>
        <w:contextualSpacing/>
        <w:jc w:val="center"/>
        <w:spacing w:after="0" w:line="240" w:lineRule="auto"/>
        <w:rPr>
          <w:rFonts w:ascii="Times New Roman" w:hAnsi="Times New Roman" w:cs="Times New Roman"/>
          <w:sz w:val="28"/>
          <w:szCs w:val="28"/>
        </w:rPr>
      </w:pPr>
      <w:r>
        <w:rPr>
          <w:rFonts w:ascii="Times New Roman" w:hAnsi="Times New Roman" w:cs="Times New Roman"/>
          <w:sz w:val="28"/>
          <w:szCs w:val="28"/>
          <w:lang w:eastAsia="ru-RU"/>
        </w:rPr>
        <mc:AlternateContent>
          <mc:Choice Requires="wpg">
            <w:drawing>
              <wp:inline xmlns:wp="http://schemas.openxmlformats.org/drawingml/2006/wordprocessingDrawing" distT="0" distB="0" distL="0" distR="0">
                <wp:extent cx="6257224" cy="2484120"/>
                <wp:effectExtent l="0" t="0" r="0" b="0"/>
                <wp:docPr id="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r/>
                      </pic:nvPicPr>
                      <pic:blipFill>
                        <a:blip r:embed="rId13"/>
                        <a:stretch/>
                      </pic:blipFill>
                      <pic:spPr bwMode="auto">
                        <a:xfrm>
                          <a:off x="0" y="0"/>
                          <a:ext cx="6297100" cy="2499951"/>
                        </a:xfrm>
                        <a:prstGeom prst="rect">
                          <a:avLst/>
                        </a:prstGeom>
                        <a:noFill/>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492.69pt;height:195.60pt;mso-wrap-distance-left:0.00pt;mso-wrap-distance-top:0.00pt;mso-wrap-distance-right:0.00pt;mso-wrap-distance-bottom:0.00pt;" stroked="false">
                <v:path textboxrect="0,0,0,0"/>
                <v:imagedata r:id="rId13" o:title=""/>
              </v:shape>
            </w:pict>
          </mc:Fallback>
        </mc:AlternateContent>
      </w:r>
      <w:r>
        <w:rPr>
          <w:rFonts w:ascii="Times New Roman" w:hAnsi="Times New Roman" w:cs="Times New Roman"/>
          <w:sz w:val="28"/>
          <w:szCs w:val="28"/>
        </w:rPr>
      </w:r>
      <w:r>
        <w:rPr>
          <w:rFonts w:ascii="Times New Roman" w:hAnsi="Times New Roman" w:cs="Times New Roman"/>
          <w:sz w:val="28"/>
          <w:szCs w:val="28"/>
        </w:rPr>
      </w:r>
    </w:p>
    <w:p>
      <w:pPr>
        <w:contextualSpacing/>
        <w:jc w:val="cente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Диаграмма 2. </w:t>
      </w:r>
      <w:r>
        <w:rPr>
          <w:rFonts w:ascii="Times New Roman" w:hAnsi="Times New Roman" w:cs="Times New Roman"/>
          <w:sz w:val="28"/>
          <w:szCs w:val="28"/>
        </w:rPr>
        <w:t xml:space="preserve">Структура поступивших доходов в бюджеты на территории Челябинской области и структура распределения доходов между бюджетами на терри</w:t>
      </w:r>
      <w:r>
        <w:rPr>
          <w:rFonts w:ascii="Times New Roman" w:hAnsi="Times New Roman" w:cs="Times New Roman"/>
          <w:sz w:val="28"/>
          <w:szCs w:val="28"/>
        </w:rPr>
        <w:t xml:space="preserve">тории Челябинской области в 2025</w:t>
      </w:r>
      <w:r>
        <w:rPr>
          <w:rFonts w:ascii="Times New Roman" w:hAnsi="Times New Roman" w:cs="Times New Roman"/>
          <w:sz w:val="28"/>
          <w:szCs w:val="28"/>
        </w:rPr>
        <w:t xml:space="preserve"> году, млн. рублей / %</w:t>
      </w:r>
      <w:r>
        <w:rPr>
          <w:rFonts w:ascii="Times New Roman" w:hAnsi="Times New Roman" w:cs="Times New Roman"/>
          <w:sz w:val="28"/>
          <w:szCs w:val="28"/>
        </w:rPr>
      </w:r>
      <w:r>
        <w:rPr>
          <w:rFonts w:ascii="Times New Roman" w:hAnsi="Times New Roman" w:cs="Times New Roman"/>
          <w:sz w:val="28"/>
          <w:szCs w:val="28"/>
        </w:rPr>
      </w:r>
    </w:p>
    <w:p>
      <w:pPr>
        <w:contextualSpacing/>
        <w:jc w:val="center"/>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При осуществлении бюджетных полномочий администратора доходов федерального бюджета по главе 100 «Федеральное казначейство» в 2025 году Управлением велась работа по уточнению невыясненных поступлений, зачисляемых в федер</w:t>
      </w:r>
      <w:r>
        <w:rPr>
          <w:rFonts w:ascii="Times New Roman" w:hAnsi="Times New Roman" w:cs="Times New Roman"/>
          <w:sz w:val="28"/>
          <w:szCs w:val="28"/>
        </w:rPr>
        <w:t xml:space="preserve">альный бюджет: направлено 106,5 </w:t>
      </w:r>
      <w:r>
        <w:rPr>
          <w:rFonts w:ascii="Times New Roman" w:hAnsi="Times New Roman" w:cs="Times New Roman"/>
          <w:sz w:val="28"/>
          <w:szCs w:val="28"/>
        </w:rPr>
        <w:t xml:space="preserve">тыс. Запросов на выяснение принадлежности платежа предполагаемым администраторам доходов бюджетов, проведены операции по уточнению и возврату невыясненных платежей в общей сумме 13,9 млн. рублей.</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Управлением обеспечено администрирование поступлений, зачисляемых в федеральный бюджет по главе 100 «Федеральное казначейство» по поступлениям, где плательщик указывает главу 100</w:t>
      </w:r>
      <w:r>
        <w:rPr>
          <w:rFonts w:ascii="Times New Roman" w:hAnsi="Times New Roman" w:cs="Times New Roman"/>
          <w:sz w:val="28"/>
          <w:szCs w:val="28"/>
        </w:rPr>
        <w:t xml:space="preserve">,</w:t>
      </w:r>
      <w:r>
        <w:rPr>
          <w:rFonts w:ascii="Times New Roman" w:hAnsi="Times New Roman" w:cs="Times New Roman"/>
          <w:sz w:val="28"/>
          <w:szCs w:val="28"/>
        </w:rPr>
        <w:t xml:space="preserve"> как получателя. В 2025 году было сформировано 496 Уведомлений</w:t>
      </w:r>
      <w:r>
        <w:rPr>
          <w:rFonts w:ascii="Times New Roman" w:hAnsi="Times New Roman" w:cs="Times New Roman"/>
          <w:sz w:val="28"/>
          <w:szCs w:val="28"/>
        </w:rPr>
        <w:t xml:space="preserve"> </w:t>
      </w:r>
      <w:r>
        <w:rPr>
          <w:rFonts w:ascii="Times New Roman" w:hAnsi="Times New Roman" w:cs="Times New Roman"/>
          <w:sz w:val="28"/>
          <w:szCs w:val="28"/>
        </w:rPr>
        <w:t xml:space="preserve">об уточнении вида и принадлежности платежа</w:t>
      </w:r>
      <w:r>
        <w:rPr>
          <w:rFonts w:ascii="Times New Roman" w:hAnsi="Times New Roman" w:cs="Times New Roman"/>
          <w:sz w:val="28"/>
          <w:szCs w:val="28"/>
        </w:rPr>
        <w:br/>
      </w:r>
      <w:r>
        <w:rPr>
          <w:rFonts w:ascii="Times New Roman" w:hAnsi="Times New Roman" w:cs="Times New Roman"/>
          <w:sz w:val="28"/>
          <w:szCs w:val="28"/>
        </w:rPr>
        <w:t xml:space="preserve">на сумму 981</w:t>
      </w:r>
      <w:r>
        <w:rPr>
          <w:rFonts w:ascii="Times New Roman" w:hAnsi="Times New Roman" w:cs="Times New Roman"/>
          <w:sz w:val="28"/>
          <w:szCs w:val="28"/>
        </w:rPr>
        <w:t xml:space="preserve"> </w:t>
      </w:r>
      <w:r>
        <w:rPr>
          <w:rFonts w:ascii="Times New Roman" w:hAnsi="Times New Roman" w:cs="Times New Roman"/>
          <w:sz w:val="28"/>
          <w:szCs w:val="28"/>
        </w:rPr>
        <w:t xml:space="preserve">524,42 тыс. рублей</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Управлением обеспеч</w:t>
      </w:r>
      <w:r>
        <w:rPr>
          <w:rFonts w:ascii="Times New Roman" w:hAnsi="Times New Roman" w:cs="Times New Roman"/>
          <w:sz w:val="28"/>
          <w:szCs w:val="28"/>
        </w:rPr>
        <w:t xml:space="preserve">ивалось</w:t>
      </w:r>
      <w:r>
        <w:rPr>
          <w:rFonts w:ascii="Times New Roman" w:hAnsi="Times New Roman" w:cs="Times New Roman"/>
          <w:sz w:val="28"/>
          <w:szCs w:val="28"/>
        </w:rPr>
        <w:t xml:space="preserve"> составлен</w:t>
      </w:r>
      <w:r>
        <w:rPr>
          <w:rFonts w:ascii="Times New Roman" w:hAnsi="Times New Roman" w:cs="Times New Roman"/>
          <w:sz w:val="28"/>
          <w:szCs w:val="28"/>
        </w:rPr>
        <w:t xml:space="preserve">ие и представление документов, необходимых для составления и ведения кассового плана по доходам бюджета, расходам бюджета и источникам финансирования дефицита бюджета в части прогноза кассовых поступлений по доходам по главе 100 «Федеральное казначейство».</w:t>
      </w:r>
      <w:r>
        <w:rPr>
          <w:rFonts w:ascii="Times New Roman" w:hAnsi="Times New Roman" w:cs="Times New Roman"/>
          <w:sz w:val="28"/>
          <w:szCs w:val="28"/>
        </w:rPr>
      </w:r>
      <w:r>
        <w:rPr>
          <w:rFonts w:ascii="Times New Roman" w:hAnsi="Times New Roman" w:cs="Times New Roman"/>
          <w:sz w:val="28"/>
          <w:szCs w:val="28"/>
        </w:rPr>
      </w:r>
    </w:p>
    <w:p>
      <w:pPr>
        <w:contextualSpacing/>
        <w:ind w:firstLine="709"/>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871"/>
        <w:contextualSpacing/>
        <w:jc w:val="both"/>
        <w:spacing w:before="0" w:line="240" w:lineRule="auto"/>
        <w:rPr>
          <w:rFonts w:ascii="Times New Roman" w:hAnsi="Times New Roman" w:cs="Times New Roman"/>
          <w:b/>
          <w:color w:val="auto"/>
          <w:sz w:val="28"/>
          <w:szCs w:val="28"/>
        </w:rPr>
      </w:pPr>
      <w:r/>
      <w:bookmarkStart w:id="6" w:name="_Toc6"/>
      <w:r>
        <w:rPr>
          <w:rFonts w:ascii="Times New Roman" w:hAnsi="Times New Roman" w:cs="Times New Roman"/>
          <w:b/>
          <w:color w:val="auto"/>
          <w:sz w:val="28"/>
          <w:szCs w:val="28"/>
        </w:rPr>
        <w:t xml:space="preserve">2.4</w:t>
      </w:r>
      <w:r>
        <w:rPr>
          <w:rFonts w:ascii="Times New Roman" w:hAnsi="Times New Roman" w:cs="Times New Roman"/>
          <w:b/>
          <w:color w:val="auto"/>
          <w:sz w:val="28"/>
          <w:szCs w:val="28"/>
        </w:rPr>
        <w:t xml:space="preserve">. Казначейское сопровождение бюджетных средств</w:t>
      </w:r>
      <w:r>
        <w:rPr>
          <w:rFonts w:ascii="Times New Roman" w:hAnsi="Times New Roman" w:cs="Times New Roman"/>
          <w:b/>
          <w:color w:val="auto"/>
          <w:sz w:val="28"/>
          <w:szCs w:val="28"/>
        </w:rPr>
      </w:r>
      <w:bookmarkEnd w:id="6"/>
      <w:r>
        <w:rPr>
          <w:rFonts w:ascii="Times New Roman" w:hAnsi="Times New Roman" w:cs="Times New Roman"/>
          <w:b/>
          <w:color w:val="auto"/>
          <w:sz w:val="28"/>
          <w:szCs w:val="28"/>
        </w:rPr>
      </w:r>
      <w:r>
        <w:rPr>
          <w:rFonts w:ascii="Times New Roman" w:hAnsi="Times New Roman" w:cs="Times New Roman"/>
          <w:b/>
          <w:color w:val="auto"/>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2025 году Управлением осуществлялось:</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открытие и ведение лицевых счетов (разделов на лицевых счетах) юридическим лицам, индивидуальным предпринимателям, получающим средства, определенные в соответствии со ст. 242.25 и 242.26 Бюджетного кодек</w:t>
      </w:r>
      <w:r>
        <w:rPr>
          <w:rFonts w:ascii="Times New Roman" w:hAnsi="Times New Roman" w:cs="Times New Roman"/>
          <w:sz w:val="28"/>
          <w:szCs w:val="28"/>
        </w:rPr>
        <w:t xml:space="preserve">са Российской Федерации (далее –</w:t>
      </w:r>
      <w:r>
        <w:rPr>
          <w:rFonts w:ascii="Times New Roman" w:hAnsi="Times New Roman" w:cs="Times New Roman"/>
          <w:sz w:val="28"/>
          <w:szCs w:val="28"/>
        </w:rPr>
        <w:t xml:space="preserve"> участник казначейского сопровождения);</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санкционирование операций участников казначейского сопровождения в соответствии Порядком осуществления территориальными органами Федерального казначейства санкционирования операций со средствами </w:t>
      </w:r>
      <w:r>
        <w:rPr>
          <w:rFonts w:ascii="Times New Roman" w:hAnsi="Times New Roman" w:cs="Times New Roman"/>
          <w:sz w:val="28"/>
          <w:szCs w:val="28"/>
        </w:rPr>
        <w:t xml:space="preserve">участников казначейского сопровождения, утвержденным приказом</w:t>
      </w:r>
      <w:r>
        <w:rPr>
          <w:rFonts w:ascii="Times New Roman" w:hAnsi="Times New Roman" w:cs="Times New Roman"/>
          <w:sz w:val="28"/>
          <w:szCs w:val="28"/>
        </w:rPr>
        <w:br/>
      </w:r>
      <w:r>
        <w:rPr>
          <w:rFonts w:ascii="Times New Roman" w:hAnsi="Times New Roman" w:cs="Times New Roman"/>
          <w:sz w:val="28"/>
          <w:szCs w:val="28"/>
        </w:rPr>
        <w:t xml:space="preserve">Минфина России от 17 декабря 2021 г. № 214н;</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уче</w:t>
      </w:r>
      <w:r>
        <w:rPr>
          <w:rFonts w:ascii="Times New Roman" w:hAnsi="Times New Roman" w:cs="Times New Roman"/>
          <w:sz w:val="28"/>
          <w:szCs w:val="28"/>
        </w:rPr>
        <w:t xml:space="preserve">т операций со средствами участников казначейского сопровождения в соответствии с Порядком казначейского обслуживания операций со средствами участников казначейского сопровождения, утвержденным приказом Федерального казначейства от 15 декабря 2021 г. № 40н.</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За 2025 год Управление осуществило проверку 1,089 тыс. Сведений об операциях с целевыми средствами на 2025 год и на плановый период</w:t>
      </w:r>
      <w:r>
        <w:rPr>
          <w:rFonts w:ascii="Times New Roman" w:hAnsi="Times New Roman" w:cs="Times New Roman"/>
          <w:sz w:val="28"/>
          <w:szCs w:val="28"/>
        </w:rPr>
        <w:br/>
      </w:r>
      <w:r>
        <w:rPr>
          <w:rFonts w:ascii="Times New Roman" w:hAnsi="Times New Roman" w:cs="Times New Roman"/>
          <w:sz w:val="28"/>
          <w:szCs w:val="28"/>
        </w:rPr>
        <w:t xml:space="preserve">2026-2027 годов, представленных </w:t>
      </w:r>
      <w:r>
        <w:rPr>
          <w:rFonts w:ascii="Times New Roman" w:hAnsi="Times New Roman" w:cs="Times New Roman"/>
          <w:sz w:val="28"/>
          <w:szCs w:val="28"/>
        </w:rPr>
        <w:t xml:space="preserve">участниками казначейского сопровождения, из них приняты к учету 0,72 тыс. Сведений. Осуществлено санкционирование целевых расходов по 10,748 тыс. платежным документам, представленным участниками казначейского сопровождения (из них возвращено без исполнения</w:t>
      </w:r>
      <w:r>
        <w:rPr>
          <w:rFonts w:ascii="Times New Roman" w:hAnsi="Times New Roman" w:cs="Times New Roman"/>
          <w:sz w:val="28"/>
          <w:szCs w:val="28"/>
        </w:rPr>
        <w:t xml:space="preserve"> </w:t>
      </w:r>
      <w:r>
        <w:rPr>
          <w:rFonts w:ascii="Times New Roman" w:hAnsi="Times New Roman" w:cs="Times New Roman"/>
          <w:sz w:val="28"/>
          <w:szCs w:val="28"/>
        </w:rPr>
        <w:t xml:space="preserve">2,357 тыс. документов).</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За 2025 год Управление осуществило 518 проверок соответствия фактически поставленных товаров (выполненных работ, оказанных услуг), в том числе с использованием фото- и видеотехники, информации, у</w:t>
      </w:r>
      <w:r>
        <w:rPr>
          <w:rFonts w:ascii="Times New Roman" w:hAnsi="Times New Roman" w:cs="Times New Roman"/>
          <w:sz w:val="28"/>
          <w:szCs w:val="28"/>
        </w:rPr>
        <w:t xml:space="preserve">казанной в государственном (муниципальном)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в соответствии с пунктом 3 Правил расширенного казначе</w:t>
      </w:r>
      <w:r>
        <w:rPr>
          <w:rFonts w:ascii="Times New Roman" w:hAnsi="Times New Roman" w:cs="Times New Roman"/>
          <w:sz w:val="28"/>
          <w:szCs w:val="28"/>
        </w:rPr>
        <w:t xml:space="preserve">йского сопровождения, утвержденных постановлением Правительства Российской Федерации от 24 ноября 2021 г. № 2024 «О правилах казначейского сопровождения», положениями приказа Федерального казначейства от 22 декабря 2021 г. № 43н «Об осуществлении территори</w:t>
      </w:r>
      <w:r>
        <w:rPr>
          <w:rFonts w:ascii="Times New Roman" w:hAnsi="Times New Roman" w:cs="Times New Roman"/>
          <w:sz w:val="28"/>
          <w:szCs w:val="28"/>
        </w:rPr>
        <w:t xml:space="preserve">альными органами Федерального казначейства проверок при осуществлении расширенного казначейского сопровождения», из них проведено 466 проверок фактически поставленных продовольственных товаров для нужд Федеральной службы войск национальной гвардии Российск</w:t>
      </w:r>
      <w:r>
        <w:rPr>
          <w:rFonts w:ascii="Times New Roman" w:hAnsi="Times New Roman" w:cs="Times New Roman"/>
          <w:sz w:val="28"/>
          <w:szCs w:val="28"/>
        </w:rPr>
        <w:t xml:space="preserve">ой Федерации, 52 проверки фактически поставленных товаров (выполненных работ, оказанных услуг) по контрактам, заключенным с Министерством Российской Федерации по делам гражданской обороны, чрезвычайным ситуациям и ликвидации последствий стихийных бедствий.</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За 2025 год Управление осуществило 25 поверок ведения раздельного учёта результатов финансово-хозяйственной деятельно</w:t>
      </w:r>
      <w:r>
        <w:rPr>
          <w:rFonts w:ascii="Times New Roman" w:hAnsi="Times New Roman" w:cs="Times New Roman"/>
          <w:sz w:val="28"/>
          <w:szCs w:val="28"/>
        </w:rPr>
        <w:t xml:space="preserve">сти и соответствия фактических затрат данным раздельного учёта результатов финансово-хозяйственной деятельности по государственному (муниципальному) контракту, договору (соглашению), контракту (договору), отражённым в информационных системах участников каз</w:t>
      </w:r>
      <w:r>
        <w:rPr>
          <w:rFonts w:ascii="Times New Roman" w:hAnsi="Times New Roman" w:cs="Times New Roman"/>
          <w:sz w:val="28"/>
          <w:szCs w:val="28"/>
        </w:rPr>
        <w:t xml:space="preserve">начейского сопровождения, в которых осуществляется ведение бухгалтерского и управленческого учёта, информации, содержащейся в первичных учётных документах по указанному государственному (муниципальному) контракту, договору (соглашению), контракту (договору</w:t>
      </w:r>
      <w:r>
        <w:rPr>
          <w:rFonts w:ascii="Times New Roman" w:hAnsi="Times New Roman" w:cs="Times New Roman"/>
          <w:sz w:val="28"/>
          <w:szCs w:val="28"/>
        </w:rPr>
        <w:t xml:space="preserve">) и в расходной декларации, проверки экономической обоснованности затрат по государственному контракту, договору (соглашению), контракту (договору), в соответствии с пунктом 9 Правил расширенного казначейского сопровождения, утвержденных постановлением Пра</w:t>
      </w:r>
      <w:r>
        <w:rPr>
          <w:rFonts w:ascii="Times New Roman" w:hAnsi="Times New Roman" w:cs="Times New Roman"/>
          <w:sz w:val="28"/>
          <w:szCs w:val="28"/>
        </w:rPr>
        <w:t xml:space="preserve">вительства Российской Федерации</w:t>
      </w:r>
      <w:r>
        <w:rPr>
          <w:rFonts w:ascii="Times New Roman" w:hAnsi="Times New Roman" w:cs="Times New Roman"/>
          <w:sz w:val="28"/>
          <w:szCs w:val="28"/>
        </w:rPr>
        <w:br/>
      </w:r>
      <w:r>
        <w:rPr>
          <w:rFonts w:ascii="Times New Roman" w:hAnsi="Times New Roman" w:cs="Times New Roman"/>
          <w:sz w:val="28"/>
          <w:szCs w:val="28"/>
        </w:rPr>
        <w:t xml:space="preserve">от 24 ноября 2021 г. № 2024 «О правилах казначейского сопровождения», положениями приказа Федерального казначейства от 22 декабря 2021 г. № 43н </w:t>
      </w:r>
      <w:r>
        <w:rPr>
          <w:rFonts w:ascii="Times New Roman" w:hAnsi="Times New Roman" w:cs="Times New Roman"/>
          <w:sz w:val="28"/>
          <w:szCs w:val="28"/>
        </w:rPr>
        <w:t xml:space="preserve">«Об осуществлении территориальными органами Федерального казначейства проверок при осуществлении расширенного казначейского сопровождения».</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b/>
          <w:sz w:val="28"/>
          <w:szCs w:val="28"/>
        </w:rPr>
      </w:pPr>
      <w:r>
        <w:rPr>
          <w:rFonts w:ascii="Times New Roman" w:hAnsi="Times New Roman" w:cs="Times New Roman"/>
          <w:b/>
          <w:sz w:val="28"/>
          <w:szCs w:val="28"/>
        </w:rPr>
      </w:r>
      <w:r>
        <w:rPr>
          <w:rFonts w:ascii="Times New Roman" w:hAnsi="Times New Roman" w:cs="Times New Roman"/>
          <w:b/>
          <w:sz w:val="28"/>
          <w:szCs w:val="28"/>
        </w:rPr>
      </w:r>
      <w:r>
        <w:rPr>
          <w:rFonts w:ascii="Times New Roman" w:hAnsi="Times New Roman" w:cs="Times New Roman"/>
          <w:b/>
          <w:sz w:val="28"/>
          <w:szCs w:val="28"/>
        </w:rPr>
      </w:r>
    </w:p>
    <w:p>
      <w:pPr>
        <w:pStyle w:val="871"/>
        <w:contextualSpacing/>
        <w:jc w:val="both"/>
        <w:spacing w:before="0" w:line="240" w:lineRule="auto"/>
        <w:rPr>
          <w:rFonts w:ascii="Times New Roman" w:hAnsi="Times New Roman" w:cs="Times New Roman"/>
          <w:b/>
          <w:color w:val="auto"/>
          <w:sz w:val="28"/>
          <w:szCs w:val="28"/>
        </w:rPr>
      </w:pPr>
      <w:r/>
      <w:bookmarkStart w:id="7" w:name="_Toc7"/>
      <w:r>
        <w:rPr>
          <w:rFonts w:ascii="Times New Roman" w:hAnsi="Times New Roman" w:cs="Times New Roman"/>
          <w:b/>
          <w:color w:val="auto"/>
          <w:sz w:val="28"/>
          <w:szCs w:val="28"/>
        </w:rPr>
        <w:t xml:space="preserve">2.5</w:t>
      </w:r>
      <w:r>
        <w:rPr>
          <w:rFonts w:ascii="Times New Roman" w:hAnsi="Times New Roman" w:cs="Times New Roman"/>
          <w:b/>
          <w:color w:val="auto"/>
          <w:sz w:val="28"/>
          <w:szCs w:val="28"/>
        </w:rPr>
        <w:t xml:space="preserve">. Предварительный контроль, осуществляемый в процессе исполнения бюджетов по доходам и расходам</w:t>
      </w:r>
      <w:r>
        <w:rPr>
          <w:rFonts w:ascii="Times New Roman" w:hAnsi="Times New Roman" w:cs="Times New Roman"/>
          <w:b/>
          <w:color w:val="auto"/>
          <w:sz w:val="28"/>
          <w:szCs w:val="28"/>
        </w:rPr>
      </w:r>
      <w:bookmarkEnd w:id="7"/>
      <w:r>
        <w:rPr>
          <w:rFonts w:ascii="Times New Roman" w:hAnsi="Times New Roman" w:cs="Times New Roman"/>
          <w:b/>
          <w:color w:val="auto"/>
          <w:sz w:val="28"/>
          <w:szCs w:val="28"/>
        </w:rPr>
      </w:r>
      <w:r>
        <w:rPr>
          <w:rFonts w:ascii="Times New Roman" w:hAnsi="Times New Roman" w:cs="Times New Roman"/>
          <w:b/>
          <w:color w:val="auto"/>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целях предупреждения и предотвращения бюджетных нарушений в процессе исполнения бюджетов по доходам и расходам Управлением осуществлялся предварительный контроль.</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отчетном году по результатам предварительного контроля обоснованности возвратов администраторами доходов бюджетов излишне или ошиб</w:t>
      </w:r>
      <w:r>
        <w:rPr>
          <w:rFonts w:ascii="Times New Roman" w:hAnsi="Times New Roman" w:cs="Times New Roman"/>
          <w:sz w:val="28"/>
          <w:szCs w:val="28"/>
        </w:rPr>
        <w:t xml:space="preserve">очно уплаченных сумм по платежам, порядок возврата которых не установлен федеральными законами, а также обоснованности возврата государственной пошлины, не администрируемой налоговыми органами, Управлением отказано в исполнении 1,9 тыс. документов на сумму</w:t>
      </w:r>
      <w:r>
        <w:rPr>
          <w:rFonts w:ascii="Times New Roman" w:hAnsi="Times New Roman" w:cs="Times New Roman"/>
          <w:sz w:val="28"/>
          <w:szCs w:val="28"/>
        </w:rPr>
        <w:br/>
      </w:r>
      <w:r>
        <w:rPr>
          <w:rFonts w:ascii="Times New Roman" w:hAnsi="Times New Roman" w:cs="Times New Roman"/>
          <w:sz w:val="28"/>
          <w:szCs w:val="28"/>
        </w:rPr>
        <w:t xml:space="preserve">895,3 млн. рублей.</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2025</w:t>
      </w:r>
      <w:r>
        <w:rPr>
          <w:rFonts w:ascii="Times New Roman" w:hAnsi="Times New Roman" w:cs="Times New Roman"/>
          <w:sz w:val="28"/>
          <w:szCs w:val="28"/>
        </w:rPr>
        <w:t xml:space="preserve"> году Управлени</w:t>
      </w:r>
      <w:r>
        <w:rPr>
          <w:rFonts w:ascii="Times New Roman" w:hAnsi="Times New Roman" w:cs="Times New Roman"/>
          <w:sz w:val="28"/>
          <w:szCs w:val="28"/>
        </w:rPr>
        <w:t xml:space="preserve">ем возвращено без исполнения</w:t>
      </w:r>
      <w:r>
        <w:rPr>
          <w:rFonts w:ascii="Times New Roman" w:hAnsi="Times New Roman" w:cs="Times New Roman"/>
          <w:sz w:val="28"/>
          <w:szCs w:val="28"/>
        </w:rPr>
        <w:br/>
        <w:t xml:space="preserve">28,6 </w:t>
      </w:r>
      <w:r>
        <w:rPr>
          <w:rFonts w:ascii="Times New Roman" w:hAnsi="Times New Roman" w:eastAsia="Times New Roman" w:cs="Times New Roman"/>
          <w:color w:val="000000"/>
          <w:sz w:val="28"/>
        </w:rPr>
        <w:t xml:space="preserve">тыс. документов на сумму более</w:t>
      </w:r>
      <w:r>
        <w:rPr>
          <w:rFonts w:ascii="Times New Roman" w:hAnsi="Times New Roman" w:cs="Times New Roman"/>
          <w:sz w:val="28"/>
          <w:szCs w:val="28"/>
        </w:rPr>
        <w:t xml:space="preserve"> 10,7 млрд. рублей и 23,0</w:t>
      </w:r>
      <w:r>
        <w:rPr>
          <w:rFonts w:ascii="Times New Roman" w:hAnsi="Times New Roman" w:cs="Times New Roman"/>
          <w:sz w:val="28"/>
          <w:szCs w:val="28"/>
        </w:rPr>
        <w:t xml:space="preserve"> ты</w:t>
      </w:r>
      <w:r>
        <w:rPr>
          <w:rFonts w:ascii="Times New Roman" w:hAnsi="Times New Roman" w:cs="Times New Roman"/>
          <w:sz w:val="28"/>
          <w:szCs w:val="28"/>
        </w:rPr>
        <w:t xml:space="preserve">с. документов на сумму более </w:t>
      </w:r>
      <w:r>
        <w:rPr>
          <w:rFonts w:ascii="Times New Roman" w:hAnsi="Times New Roman" w:cs="Times New Roman"/>
          <w:sz w:val="28"/>
          <w:szCs w:val="28"/>
        </w:rPr>
        <w:t xml:space="preserve">12,8</w:t>
      </w:r>
      <w:r>
        <w:rPr>
          <w:rFonts w:ascii="Times New Roman" w:hAnsi="Times New Roman" w:cs="Times New Roman"/>
          <w:sz w:val="28"/>
          <w:szCs w:val="28"/>
        </w:rPr>
        <w:t xml:space="preserve"> млрд. рублей, представленных кли</w:t>
      </w:r>
      <w:r>
        <w:rPr>
          <w:rFonts w:ascii="Times New Roman" w:hAnsi="Times New Roman" w:cs="Times New Roman"/>
          <w:sz w:val="28"/>
          <w:szCs w:val="28"/>
        </w:rPr>
        <w:t xml:space="preserve">ентами</w:t>
      </w:r>
      <w:r>
        <w:rPr>
          <w:rFonts w:ascii="Times New Roman" w:hAnsi="Times New Roman" w:cs="Times New Roman"/>
          <w:sz w:val="28"/>
          <w:szCs w:val="28"/>
        </w:rPr>
        <w:t xml:space="preserve">, для проведения выплат с соответствующих лицевых счетов</w:t>
      </w:r>
      <w:r>
        <w:rPr>
          <w:rFonts w:ascii="Times New Roman" w:hAnsi="Times New Roman" w:cs="Times New Roman"/>
          <w:sz w:val="28"/>
          <w:szCs w:val="28"/>
        </w:rPr>
        <w:t xml:space="preserve"> федерального и муниципального уровня соответственно</w:t>
      </w:r>
      <w:r>
        <w:rPr>
          <w:rFonts w:ascii="Times New Roman" w:hAnsi="Times New Roman" w:cs="Times New Roman"/>
          <w:sz w:val="28"/>
          <w:szCs w:val="28"/>
        </w:rPr>
        <w:t xml:space="preserve">, по причине их несоответствия требованиям нормативных правовых актов (далее – НПА).</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871"/>
        <w:contextualSpacing/>
        <w:jc w:val="both"/>
        <w:spacing w:before="0" w:line="240" w:lineRule="auto"/>
        <w:rPr>
          <w:rFonts w:ascii="Times New Roman" w:hAnsi="Times New Roman" w:cs="Times New Roman"/>
          <w:b/>
          <w:color w:val="auto"/>
          <w:sz w:val="28"/>
          <w:szCs w:val="28"/>
        </w:rPr>
      </w:pPr>
      <w:r/>
      <w:bookmarkStart w:id="8" w:name="_Toc8"/>
      <w:r>
        <w:rPr>
          <w:rFonts w:ascii="Times New Roman" w:hAnsi="Times New Roman" w:cs="Times New Roman"/>
          <w:b/>
          <w:color w:val="auto"/>
          <w:sz w:val="28"/>
          <w:szCs w:val="28"/>
          <w:lang w:val="en-US"/>
        </w:rPr>
        <w:t xml:space="preserve">III</w:t>
      </w:r>
      <w:r>
        <w:rPr>
          <w:rFonts w:ascii="Times New Roman" w:hAnsi="Times New Roman" w:cs="Times New Roman"/>
          <w:b/>
          <w:color w:val="auto"/>
          <w:sz w:val="28"/>
          <w:szCs w:val="28"/>
        </w:rPr>
        <w:t xml:space="preserve">. Исполнение функций учетной системы Федерального казначейства</w:t>
      </w:r>
      <w:r>
        <w:rPr>
          <w:rFonts w:ascii="Times New Roman" w:hAnsi="Times New Roman" w:cs="Times New Roman"/>
          <w:b/>
          <w:color w:val="auto"/>
          <w:sz w:val="28"/>
          <w:szCs w:val="28"/>
        </w:rPr>
      </w:r>
      <w:bookmarkEnd w:id="8"/>
      <w:r>
        <w:rPr>
          <w:rFonts w:ascii="Times New Roman" w:hAnsi="Times New Roman" w:cs="Times New Roman"/>
          <w:b/>
          <w:color w:val="auto"/>
          <w:sz w:val="28"/>
          <w:szCs w:val="28"/>
        </w:rPr>
      </w:r>
      <w:r>
        <w:rPr>
          <w:rFonts w:ascii="Times New Roman" w:hAnsi="Times New Roman" w:cs="Times New Roman"/>
          <w:b/>
          <w:color w:val="auto"/>
          <w:sz w:val="28"/>
          <w:szCs w:val="28"/>
        </w:rPr>
      </w:r>
    </w:p>
    <w:p>
      <w:pPr>
        <w:contextualSpacing/>
        <w:ind w:firstLine="709"/>
        <w:jc w:val="both"/>
        <w:spacing w:after="0" w:line="240" w:lineRule="auto"/>
        <w:rPr>
          <w:rFonts w:ascii="Times New Roman" w:hAnsi="Times New Roman" w:cs="Times New Roman"/>
          <w:b/>
          <w:sz w:val="28"/>
          <w:szCs w:val="28"/>
        </w:rPr>
      </w:pPr>
      <w:r>
        <w:rPr>
          <w:rFonts w:ascii="Times New Roman" w:hAnsi="Times New Roman" w:cs="Times New Roman"/>
          <w:b/>
          <w:sz w:val="28"/>
          <w:szCs w:val="28"/>
        </w:rPr>
      </w:r>
      <w:r>
        <w:rPr>
          <w:rFonts w:ascii="Times New Roman" w:hAnsi="Times New Roman" w:cs="Times New Roman"/>
          <w:b/>
          <w:sz w:val="28"/>
          <w:szCs w:val="28"/>
        </w:rPr>
      </w:r>
      <w:r>
        <w:rPr>
          <w:rFonts w:ascii="Times New Roman" w:hAnsi="Times New Roman" w:cs="Times New Roman"/>
          <w:b/>
          <w:sz w:val="28"/>
          <w:szCs w:val="28"/>
        </w:rPr>
      </w:r>
    </w:p>
    <w:p>
      <w:pPr>
        <w:pStyle w:val="871"/>
        <w:contextualSpacing/>
        <w:jc w:val="both"/>
        <w:spacing w:before="0" w:line="240" w:lineRule="auto"/>
        <w:rPr>
          <w:rFonts w:ascii="Times New Roman" w:hAnsi="Times New Roman" w:cs="Times New Roman"/>
          <w:b/>
          <w:color w:val="auto"/>
          <w:sz w:val="28"/>
          <w:szCs w:val="28"/>
        </w:rPr>
      </w:pPr>
      <w:r/>
      <w:bookmarkStart w:id="9" w:name="_Toc9"/>
      <w:r>
        <w:rPr>
          <w:rFonts w:ascii="Times New Roman" w:hAnsi="Times New Roman" w:cs="Times New Roman"/>
          <w:b/>
          <w:color w:val="auto"/>
          <w:sz w:val="28"/>
          <w:szCs w:val="28"/>
        </w:rPr>
        <w:t xml:space="preserve">3.1. Составление и представление в установленном порядке бюджетной отчетности и отчетности по операциям системы казначейских платежей</w:t>
      </w:r>
      <w:r>
        <w:rPr>
          <w:rFonts w:ascii="Times New Roman" w:hAnsi="Times New Roman" w:cs="Times New Roman"/>
          <w:b/>
          <w:color w:val="auto"/>
          <w:sz w:val="28"/>
          <w:szCs w:val="28"/>
        </w:rPr>
      </w:r>
      <w:bookmarkEnd w:id="9"/>
      <w:r>
        <w:rPr>
          <w:rFonts w:ascii="Times New Roman" w:hAnsi="Times New Roman" w:cs="Times New Roman"/>
          <w:b/>
          <w:color w:val="auto"/>
          <w:sz w:val="28"/>
          <w:szCs w:val="28"/>
        </w:rPr>
      </w:r>
      <w:r>
        <w:rPr>
          <w:rFonts w:ascii="Times New Roman" w:hAnsi="Times New Roman" w:cs="Times New Roman"/>
          <w:b/>
          <w:color w:val="auto"/>
          <w:sz w:val="28"/>
          <w:szCs w:val="28"/>
        </w:rPr>
      </w:r>
    </w:p>
    <w:p>
      <w:pPr>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Управлением в 2025 году обеспечивалось ведение казначейского учета по казначейскому обслуживанию исполнения бюджетов бюджетной системы Российской Федерации, по операциям со средствами бюджетных </w:t>
      </w:r>
      <w:r>
        <w:rPr>
          <w:rFonts w:ascii="Times New Roman" w:hAnsi="Times New Roman" w:cs="Times New Roman"/>
          <w:sz w:val="28"/>
          <w:szCs w:val="28"/>
        </w:rPr>
        <w:t xml:space="preserve">и автономных учреждений, получателей средств из бюджета, участников казначейского сопро</w:t>
      </w:r>
      <w:r>
        <w:rPr>
          <w:rFonts w:ascii="Times New Roman" w:hAnsi="Times New Roman" w:cs="Times New Roman"/>
          <w:sz w:val="28"/>
          <w:szCs w:val="28"/>
        </w:rPr>
        <w:t xml:space="preserve">вождения, по операциям системы казначейских платежей, казначейского учета по счетам объектов учета системы казначейских платежей по операциям, осуществляемым в рамках казначейского обслуживания поступлений в бюджеты бюджетной системы Российской Федерации. </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2025 году сформировано более 194,4 тыс. регистров казначейского учета.</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На основе данных казначейского учета Управлением сформировано</w:t>
      </w:r>
      <w:r>
        <w:rPr>
          <w:rFonts w:ascii="Times New Roman" w:hAnsi="Times New Roman" w:cs="Times New Roman"/>
          <w:sz w:val="28"/>
          <w:szCs w:val="28"/>
        </w:rPr>
        <w:br/>
      </w:r>
      <w:r>
        <w:rPr>
          <w:rFonts w:ascii="Times New Roman" w:hAnsi="Times New Roman" w:cs="Times New Roman"/>
          <w:sz w:val="28"/>
          <w:szCs w:val="28"/>
        </w:rPr>
        <w:t xml:space="preserve">16, 0 тыс. форм соответствующей бюджетной отчетности и отчетности по операциям системы казначейских платежей и представлено в электрон</w:t>
      </w:r>
      <w:r>
        <w:rPr>
          <w:rFonts w:ascii="Times New Roman" w:hAnsi="Times New Roman" w:cs="Times New Roman"/>
          <w:sz w:val="28"/>
          <w:szCs w:val="28"/>
        </w:rPr>
        <w:t xml:space="preserve">ном виде в Межрегиональное операционное управление Федерального казначейства, Министерство финансов Челябинской области, финансовые органы муниципальных образований, находящихся на территории Челябинской области, в Отделение Фонда пенсионного и социального</w:t>
      </w:r>
      <w:r>
        <w:rPr>
          <w:rFonts w:ascii="Times New Roman" w:hAnsi="Times New Roman" w:cs="Times New Roman"/>
          <w:sz w:val="28"/>
          <w:szCs w:val="28"/>
        </w:rPr>
        <w:t xml:space="preserve"> страхования Российской Федерации по Челябинской области, в территориальный фонд обязательного медицинского страхования Челябинской области, получателям средств федерального бюджета, администраторам источников финансирования дефицита федерального бюджета. </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Кроме того, отчетные формы, содержащие информацию по казначейс</w:t>
      </w:r>
      <w:r>
        <w:rPr>
          <w:rFonts w:ascii="Times New Roman" w:hAnsi="Times New Roman" w:cs="Times New Roman"/>
          <w:sz w:val="28"/>
          <w:szCs w:val="28"/>
        </w:rPr>
        <w:t xml:space="preserve">кому обслуживанию исполнения бюджетов бюджетной системы Российской Федерации на территории Челябинской области, представлялись Управлением в 2025 году в рамках заключенных соглашений контрольно-счетным органам муниципальных образований Челябинской области.</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Основные показатели по казначейскому обслуживанию исполнения</w:t>
      </w:r>
      <w:r>
        <w:rPr>
          <w:rFonts w:ascii="Times New Roman" w:hAnsi="Times New Roman" w:cs="Times New Roman"/>
          <w:sz w:val="28"/>
          <w:szCs w:val="28"/>
        </w:rPr>
        <w:t xml:space="preserve"> бюджетов бюджетной системы Российской Федерации, по операциям со средствами бюджетных и автономных учреждений, получателей средств из бюджета, участников казначейского сопровождения за 2025 год приведены в Приложениях № 1, 2 к настоящему итоговому отчету.</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871"/>
        <w:jc w:val="both"/>
        <w:rPr>
          <w:rFonts w:ascii="Times New Roman" w:hAnsi="Times New Roman" w:cs="Times New Roman"/>
          <w:b/>
          <w:color w:val="auto"/>
          <w:sz w:val="28"/>
          <w:szCs w:val="28"/>
        </w:rPr>
      </w:pPr>
      <w:r/>
      <w:bookmarkStart w:id="10" w:name="_Toc10"/>
      <w:r>
        <w:rPr>
          <w:rFonts w:ascii="Times New Roman" w:hAnsi="Times New Roman" w:cs="Times New Roman"/>
          <w:b/>
          <w:color w:val="auto"/>
          <w:sz w:val="28"/>
          <w:szCs w:val="28"/>
        </w:rPr>
        <w:t xml:space="preserve">3.2. Проверка отчетов, представленных Министерством финансов Челябинской области в подсистему «Учет и отчетность» государственной интегрированной информационной системы управления государственными финансами «Электронный бюджет»</w:t>
      </w:r>
      <w:r>
        <w:rPr>
          <w:rFonts w:ascii="Times New Roman" w:hAnsi="Times New Roman" w:cs="Times New Roman"/>
          <w:b/>
          <w:color w:val="auto"/>
          <w:sz w:val="28"/>
          <w:szCs w:val="28"/>
        </w:rPr>
      </w:r>
      <w:bookmarkEnd w:id="10"/>
      <w:r>
        <w:rPr>
          <w:rFonts w:ascii="Times New Roman" w:hAnsi="Times New Roman" w:cs="Times New Roman"/>
          <w:b/>
          <w:color w:val="auto"/>
          <w:sz w:val="28"/>
          <w:szCs w:val="28"/>
        </w:rPr>
      </w:r>
      <w:r>
        <w:rPr>
          <w:rFonts w:ascii="Times New Roman" w:hAnsi="Times New Roman" w:cs="Times New Roman"/>
          <w:b/>
          <w:color w:val="auto"/>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отчетном году Управлением проверено и принято более 3,0 тыс. форм бюджетной отчетности, представленных Министерством финансов Челябинской области в подсистему «Учет и отчетность» государственной интегрированной </w:t>
      </w:r>
      <w:r>
        <w:rPr>
          <w:rFonts w:ascii="Times New Roman" w:hAnsi="Times New Roman" w:cs="Times New Roman"/>
          <w:sz w:val="28"/>
          <w:szCs w:val="28"/>
        </w:rPr>
        <w:t xml:space="preserve">информационной системы управления государственными финансами «Электронный бюджет» (далее – </w:t>
      </w:r>
      <w:r>
        <w:rPr>
          <w:rFonts w:ascii="Times New Roman" w:hAnsi="Times New Roman" w:cs="Times New Roman"/>
          <w:sz w:val="28"/>
          <w:szCs w:val="28"/>
        </w:rPr>
        <w:t xml:space="preserve">ГИИС «Электронный бюджет»</w:t>
      </w:r>
      <w:r>
        <w:rPr>
          <w:rFonts w:ascii="Times New Roman" w:hAnsi="Times New Roman" w:cs="Times New Roman"/>
          <w:sz w:val="28"/>
          <w:szCs w:val="28"/>
        </w:rPr>
        <w:t xml:space="preserve">) в целях раскрытия информации о ходе реализации национальных проектов.</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871"/>
        <w:jc w:val="both"/>
        <w:rPr>
          <w:rFonts w:ascii="Times New Roman" w:hAnsi="Times New Roman" w:cs="Times New Roman"/>
          <w:b/>
          <w:color w:val="auto"/>
          <w:sz w:val="28"/>
          <w:szCs w:val="28"/>
        </w:rPr>
      </w:pPr>
      <w:r/>
      <w:bookmarkStart w:id="11" w:name="_Toc11"/>
      <w:r>
        <w:rPr>
          <w:rFonts w:ascii="Times New Roman" w:hAnsi="Times New Roman" w:cs="Times New Roman"/>
          <w:b/>
          <w:color w:val="auto"/>
          <w:sz w:val="28"/>
          <w:szCs w:val="28"/>
        </w:rPr>
        <w:t xml:space="preserve">3.3. Проведение сверки информации о государственных и муниципальных учреждениях, размещаемой на официальном сайте в сети «Интернет», и анализ ее результатов</w:t>
      </w:r>
      <w:r>
        <w:rPr>
          <w:rFonts w:ascii="Times New Roman" w:hAnsi="Times New Roman" w:cs="Times New Roman"/>
          <w:b/>
          <w:color w:val="auto"/>
          <w:sz w:val="28"/>
          <w:szCs w:val="28"/>
        </w:rPr>
      </w:r>
      <w:bookmarkEnd w:id="11"/>
      <w:r>
        <w:rPr>
          <w:rFonts w:ascii="Times New Roman" w:hAnsi="Times New Roman" w:cs="Times New Roman"/>
          <w:b/>
          <w:color w:val="auto"/>
          <w:sz w:val="28"/>
          <w:szCs w:val="28"/>
        </w:rPr>
      </w:r>
      <w:r>
        <w:rPr>
          <w:rFonts w:ascii="Times New Roman" w:hAnsi="Times New Roman" w:cs="Times New Roman"/>
          <w:b/>
          <w:color w:val="auto"/>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отчетном году Управлением осуществлялась сверка информации о государственных и муниципальных учреждениях, размещаемой на официальном сайте в сети «Интернет» www.bus.gov.ru (далее – Официальный сайт), и анализ ее результатов в соответствии с приказом Феде</w:t>
      </w:r>
      <w:r>
        <w:rPr>
          <w:rFonts w:ascii="Times New Roman" w:hAnsi="Times New Roman" w:cs="Times New Roman"/>
          <w:sz w:val="28"/>
          <w:szCs w:val="28"/>
        </w:rPr>
        <w:t xml:space="preserve">рального казначейства</w:t>
      </w:r>
      <w:r>
        <w:rPr>
          <w:rFonts w:ascii="Times New Roman" w:hAnsi="Times New Roman" w:cs="Times New Roman"/>
          <w:sz w:val="28"/>
          <w:szCs w:val="28"/>
        </w:rPr>
        <w:br/>
      </w:r>
      <w:r>
        <w:rPr>
          <w:rFonts w:ascii="Times New Roman" w:hAnsi="Times New Roman" w:cs="Times New Roman"/>
          <w:sz w:val="28"/>
          <w:szCs w:val="28"/>
        </w:rPr>
        <w:t xml:space="preserve">от 23 марта 2023 г. № 98 «Об утверждении Тре</w:t>
      </w:r>
      <w:r>
        <w:rPr>
          <w:rFonts w:ascii="Times New Roman" w:hAnsi="Times New Roman" w:cs="Times New Roman"/>
          <w:sz w:val="28"/>
          <w:szCs w:val="28"/>
        </w:rPr>
        <w:t xml:space="preserve">бований к проведению сверки информации о государственных и муниципальных учреждениях, размещенной на официальном сайте в сети «Интернет» www.bus.gov.ru, и анализа ее результатов», по результатам сверки в Управление Федерального казначейства по Тульской обл</w:t>
      </w:r>
      <w:r>
        <w:rPr>
          <w:rFonts w:ascii="Times New Roman" w:hAnsi="Times New Roman" w:cs="Times New Roman"/>
          <w:sz w:val="28"/>
          <w:szCs w:val="28"/>
        </w:rPr>
        <w:t xml:space="preserve">асти направлены Отчет по размещенной информации на Официальном сайте и Аналитическая информация о проведенной сверке информации о государственных и муниципальных учреждениях, размещенной на Официальном сайте, по состоянию на 1 января и на 1 июля 2025 года.</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Сотрудниками отдела бюджетного учета и отчетности по операциям бюджетов оказывалась консультативная помощь при работе с Официальным сайтом 3412 учреждениям, осуществляющим деятельность на территории Челябинской области. </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eastAsia="Times New Roman" w:cs="Times New Roman"/>
          <w:sz w:val="28"/>
        </w:rPr>
      </w:pPr>
      <w:r>
        <w:rPr>
          <w:rFonts w:ascii="Times New Roman" w:hAnsi="Times New Roman" w:cs="Times New Roman"/>
          <w:sz w:val="28"/>
          <w:szCs w:val="28"/>
        </w:rPr>
        <w:t xml:space="preserve">Пр</w:t>
      </w:r>
      <w:r>
        <w:rPr>
          <w:rFonts w:ascii="Times New Roman" w:hAnsi="Times New Roman" w:cs="Times New Roman"/>
          <w:sz w:val="28"/>
          <w:szCs w:val="28"/>
        </w:rPr>
        <w:t xml:space="preserve">иняты следующие меры, направленные на обеспечение размещения информации: проведены устные консультации учреждений по вопросам регистрации и работы на Официальном сайте, направлены письменные уведомления через Официальный сайт о необходимости публикации нед</w:t>
      </w:r>
      <w:r>
        <w:rPr>
          <w:rFonts w:ascii="Times New Roman" w:hAnsi="Times New Roman" w:cs="Times New Roman"/>
          <w:sz w:val="28"/>
          <w:szCs w:val="28"/>
        </w:rPr>
        <w:t xml:space="preserve">остающей информации и внесения изменений учреждением в ранее размещенную некорректную информацию, по запросам финансовых органов, учредителей направлялись сводные таблицы по подведомственным учреждениям для работы с учреждениями, не разместившим информацию</w:t>
      </w:r>
      <w:r>
        <w:rPr>
          <w:rFonts w:ascii="Times New Roman" w:hAnsi="Times New Roman" w:cs="Times New Roman"/>
          <w:sz w:val="28"/>
          <w:szCs w:val="28"/>
        </w:rPr>
        <w:t xml:space="preserve">.</w:t>
      </w:r>
      <w:r>
        <w:rPr>
          <w:rFonts w:ascii="Times New Roman" w:hAnsi="Times New Roman" w:eastAsia="Times New Roman" w:cs="Times New Roman"/>
          <w:sz w:val="28"/>
        </w:rPr>
      </w:r>
      <w:r>
        <w:rPr>
          <w:rFonts w:ascii="Times New Roman" w:hAnsi="Times New Roman" w:eastAsia="Times New Roman" w:cs="Times New Roman"/>
          <w:sz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871"/>
        <w:contextualSpacing/>
        <w:jc w:val="both"/>
        <w:spacing w:before="0" w:line="240" w:lineRule="auto"/>
        <w:rPr>
          <w:rFonts w:ascii="Times New Roman" w:hAnsi="Times New Roman" w:cs="Times New Roman"/>
          <w:b/>
          <w:color w:val="auto"/>
          <w:sz w:val="28"/>
          <w:szCs w:val="28"/>
        </w:rPr>
      </w:pPr>
      <w:r/>
      <w:bookmarkStart w:id="12" w:name="_Toc12"/>
      <w:r>
        <w:rPr>
          <w:rFonts w:ascii="Times New Roman" w:hAnsi="Times New Roman" w:cs="Times New Roman"/>
          <w:b/>
          <w:color w:val="auto"/>
          <w:sz w:val="28"/>
          <w:szCs w:val="28"/>
        </w:rPr>
        <w:t xml:space="preserve">3.4. Исполнение полномочий отдельных федеральных органов исполнительной власти, их территориальных органов и подведомственных им казенных учреждений</w:t>
      </w:r>
      <w:r>
        <w:rPr>
          <w:rFonts w:ascii="Times New Roman" w:hAnsi="Times New Roman" w:cs="Times New Roman"/>
          <w:b/>
          <w:color w:val="auto"/>
          <w:sz w:val="28"/>
          <w:szCs w:val="28"/>
        </w:rPr>
      </w:r>
      <w:bookmarkEnd w:id="12"/>
      <w:r>
        <w:rPr>
          <w:rFonts w:ascii="Times New Roman" w:hAnsi="Times New Roman" w:cs="Times New Roman"/>
          <w:b/>
          <w:color w:val="auto"/>
          <w:sz w:val="28"/>
          <w:szCs w:val="28"/>
        </w:rPr>
      </w:r>
      <w:r>
        <w:rPr>
          <w:rFonts w:ascii="Times New Roman" w:hAnsi="Times New Roman" w:cs="Times New Roman"/>
          <w:b/>
          <w:color w:val="auto"/>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рамках реализации п</w:t>
      </w:r>
      <w:r>
        <w:rPr>
          <w:rFonts w:ascii="Times New Roman" w:hAnsi="Times New Roman" w:cs="Times New Roman"/>
          <w:sz w:val="28"/>
          <w:szCs w:val="28"/>
        </w:rPr>
        <w:t xml:space="preserve">остановления Правительства Росси</w:t>
      </w:r>
      <w:r>
        <w:rPr>
          <w:rFonts w:ascii="Times New Roman" w:hAnsi="Times New Roman" w:cs="Times New Roman"/>
          <w:sz w:val="28"/>
          <w:szCs w:val="28"/>
        </w:rPr>
        <w:t xml:space="preserve">йской Федерации от 15.02.2020 № </w:t>
      </w:r>
      <w:r>
        <w:rPr>
          <w:rFonts w:ascii="Times New Roman" w:hAnsi="Times New Roman" w:cs="Times New Roman"/>
          <w:sz w:val="28"/>
          <w:szCs w:val="28"/>
        </w:rPr>
        <w:t xml:space="preserve">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w:t>
      </w:r>
      <w:r>
        <w:rPr>
          <w:rFonts w:ascii="Times New Roman" w:hAnsi="Times New Roman" w:cs="Times New Roman"/>
          <w:sz w:val="28"/>
          <w:szCs w:val="28"/>
        </w:rPr>
        <w:t xml:space="preserve">с изменениями</w:t>
      </w:r>
      <w:r>
        <w:rPr>
          <w:rFonts w:ascii="Times New Roman" w:hAnsi="Times New Roman" w:cs="Times New Roman"/>
          <w:sz w:val="28"/>
          <w:szCs w:val="28"/>
        </w:rPr>
        <w:t xml:space="preserve">) централизуемые полномочия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w:t>
      </w:r>
      <w:r>
        <w:rPr>
          <w:rFonts w:ascii="Times New Roman" w:hAnsi="Times New Roman" w:cs="Times New Roman"/>
          <w:sz w:val="28"/>
          <w:szCs w:val="28"/>
        </w:rPr>
        <w:t xml:space="preserve">ведению бюджетного учета, включая составление и представление бюджетной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w:t>
      </w:r>
      <w:r>
        <w:rPr>
          <w:rFonts w:ascii="Times New Roman" w:hAnsi="Times New Roman" w:cs="Times New Roman"/>
          <w:sz w:val="28"/>
          <w:szCs w:val="28"/>
        </w:rPr>
        <w:t xml:space="preserve">ьные) органы, Управлением в 2025</w:t>
      </w:r>
      <w:r>
        <w:rPr>
          <w:rFonts w:ascii="Times New Roman" w:hAnsi="Times New Roman" w:cs="Times New Roman"/>
          <w:sz w:val="28"/>
          <w:szCs w:val="28"/>
        </w:rPr>
        <w:t xml:space="preserve"> году осуществлялись в отношении тринадца</w:t>
      </w:r>
      <w:r>
        <w:rPr>
          <w:rFonts w:ascii="Times New Roman" w:hAnsi="Times New Roman" w:cs="Times New Roman"/>
          <w:sz w:val="28"/>
          <w:szCs w:val="28"/>
        </w:rPr>
        <w:t xml:space="preserve">ти субъектов централизованного</w:t>
      </w:r>
      <w:r>
        <w:rPr>
          <w:rFonts w:ascii="Times New Roman" w:hAnsi="Times New Roman" w:cs="Times New Roman"/>
          <w:sz w:val="28"/>
          <w:szCs w:val="28"/>
        </w:rPr>
        <w:br/>
      </w:r>
      <w:r>
        <w:rPr>
          <w:rFonts w:ascii="Times New Roman" w:hAnsi="Times New Roman" w:cs="Times New Roman"/>
          <w:sz w:val="28"/>
          <w:szCs w:val="28"/>
        </w:rPr>
        <w:t xml:space="preserve">учета</w:t>
      </w:r>
      <w:r>
        <w:rPr>
          <w:rFonts w:ascii="Times New Roman" w:hAnsi="Times New Roman" w:cs="Times New Roman"/>
          <w:sz w:val="28"/>
          <w:szCs w:val="28"/>
        </w:rPr>
        <w:t xml:space="preserve"> (далее – СЦУ)</w:t>
      </w:r>
      <w:r>
        <w:rPr>
          <w:rFonts w:ascii="Times New Roman" w:hAnsi="Times New Roman" w:cs="Times New Roman"/>
          <w:sz w:val="28"/>
          <w:szCs w:val="28"/>
        </w:rPr>
        <w:t xml:space="preserve">, подведомственных десяти главным распорядителям бюджетных средств:</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Межрегионального территориального управления Федерального агентства по управлению государственным имуществом в Челябинской и Курганской областях (код главы министерства/ведомства 167);</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Государственной инспекции труда в Челябинской области (код главы министерства/ведомства 150);</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Территориального органа Федеральной службы государственной статистики по Челябинской области (код главы министерства/ведомства 157);</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Уральского межрегионального управления</w:t>
      </w:r>
      <w:r>
        <w:rPr>
          <w:rFonts w:ascii="Times New Roman" w:hAnsi="Times New Roman" w:cs="Times New Roman"/>
          <w:sz w:val="28"/>
          <w:szCs w:val="28"/>
        </w:rPr>
        <w:t xml:space="preserve"> Федеральной службы по ветеринарному и фитосанитарному надзору (код г</w:t>
      </w:r>
      <w:r>
        <w:rPr>
          <w:rFonts w:ascii="Times New Roman" w:hAnsi="Times New Roman" w:cs="Times New Roman"/>
          <w:sz w:val="28"/>
          <w:szCs w:val="28"/>
        </w:rPr>
        <w:t xml:space="preserve"> </w:t>
      </w:r>
      <w:r>
        <w:rPr>
          <w:rFonts w:ascii="Times New Roman" w:hAnsi="Times New Roman" w:cs="Times New Roman"/>
          <w:sz w:val="28"/>
          <w:szCs w:val="28"/>
        </w:rPr>
        <w:t xml:space="preserve">лавы министерства/</w:t>
      </w:r>
      <w:r>
        <w:rPr>
          <w:rFonts w:ascii="Times New Roman" w:hAnsi="Times New Roman" w:cs="Times New Roman"/>
          <w:sz w:val="28"/>
          <w:szCs w:val="28"/>
        </w:rPr>
        <w:br/>
      </w:r>
      <w:r>
        <w:rPr>
          <w:rFonts w:ascii="Times New Roman" w:hAnsi="Times New Roman" w:cs="Times New Roman"/>
          <w:sz w:val="28"/>
          <w:szCs w:val="28"/>
        </w:rPr>
        <w:t xml:space="preserve">ведомства 081);</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Территориального органа Федеральной службы по надзору в сфере здравоохранения по Челябинской области (код главы министерства/</w:t>
      </w:r>
      <w:r>
        <w:rPr>
          <w:rFonts w:ascii="Times New Roman" w:hAnsi="Times New Roman" w:cs="Times New Roman"/>
          <w:sz w:val="28"/>
          <w:szCs w:val="28"/>
        </w:rPr>
        <w:br/>
      </w:r>
      <w:r>
        <w:rPr>
          <w:rFonts w:ascii="Times New Roman" w:hAnsi="Times New Roman" w:cs="Times New Roman"/>
          <w:sz w:val="28"/>
          <w:szCs w:val="28"/>
        </w:rPr>
        <w:t xml:space="preserve">ведомства 060);</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Управления Федеральной службы по надзору в сфере связи, информационных технологий и массовых коммуникаций по Челябинской области (код главы министерства/ведомства 096);</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Управления Федеральной службы по надзору в сфере защиты прав потребителей и благополучия человека по Челябинской области (код главы министерства/ведомства 141);</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Управления Федеральной антимонопольной службы по Челябинской области (код главы министерства/ведомства 161);</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Управления Федеральной службы государственной регистрации, кадастра и кар</w:t>
      </w:r>
      <w:r>
        <w:rPr>
          <w:rFonts w:ascii="Times New Roman" w:hAnsi="Times New Roman" w:cs="Times New Roman"/>
          <w:sz w:val="28"/>
          <w:szCs w:val="28"/>
        </w:rPr>
        <w:t xml:space="preserve">тографии по Челябинской области</w:t>
      </w:r>
      <w:r>
        <w:rPr>
          <w:rFonts w:ascii="Times New Roman" w:hAnsi="Times New Roman" w:cs="Times New Roman"/>
          <w:sz w:val="28"/>
          <w:szCs w:val="28"/>
        </w:rPr>
        <w:t xml:space="preserve"> (код главы министерства/ведомства 321);</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Межрегионального Управления № 15 Федерального медико-биологического агентства (код главы министерства/ведомства 388);</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Межрегионального Управления № 71 Федерального медико-биологического агентства (код главы министерства/ведомства 388);</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Межрегионального Управления № 72 Федерального медико-биологического агентства (код главы министерства/ведомства 388);</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Межрегионального Управления № 92 Федерального медико-биологического агентства (код главы министерства/ведомства 388).</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Из тринадцати субъ</w:t>
      </w:r>
      <w:r>
        <w:rPr>
          <w:rFonts w:ascii="Times New Roman" w:hAnsi="Times New Roman" w:cs="Times New Roman"/>
          <w:sz w:val="28"/>
          <w:szCs w:val="28"/>
        </w:rPr>
        <w:t xml:space="preserve">ектов централизованного учета шесть имеют статус межрегиональных, в состав субъектов централизованного учета входит 95 обособленных подразделений, расположенных как на территории Челябинской области, так и на территории иных субъектов Российской Федерации.</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Взаимод</w:t>
      </w:r>
      <w:r>
        <w:rPr>
          <w:rFonts w:ascii="Times New Roman" w:hAnsi="Times New Roman" w:cs="Times New Roman"/>
          <w:sz w:val="28"/>
          <w:szCs w:val="28"/>
        </w:rPr>
        <w:t xml:space="preserve">ействие Управления и субъектов централизованного учета в рамках централизуемых полномочий обеспечивалось путем информационного взаимодействия ГИИС «Электронный бюджет», Единой информационной системы в сфере закупок и иными государственными информационными </w:t>
      </w:r>
      <w:r>
        <w:rPr>
          <w:rFonts w:ascii="Times New Roman" w:hAnsi="Times New Roman" w:cs="Times New Roman"/>
          <w:sz w:val="28"/>
          <w:szCs w:val="28"/>
        </w:rPr>
        <w:t xml:space="preserve">системами в соответствии с при</w:t>
      </w:r>
      <w:r>
        <w:rPr>
          <w:rFonts w:ascii="Times New Roman" w:hAnsi="Times New Roman" w:cs="Times New Roman"/>
          <w:sz w:val="28"/>
          <w:szCs w:val="28"/>
        </w:rPr>
        <w:t xml:space="preserve">казом Федерального казначейства</w:t>
      </w:r>
      <w:r>
        <w:rPr>
          <w:rFonts w:ascii="Times New Roman" w:hAnsi="Times New Roman" w:cs="Times New Roman"/>
          <w:sz w:val="28"/>
          <w:szCs w:val="28"/>
        </w:rPr>
        <w:br/>
      </w:r>
      <w:r>
        <w:rPr>
          <w:rFonts w:ascii="Times New Roman" w:hAnsi="Times New Roman" w:cs="Times New Roman"/>
          <w:sz w:val="28"/>
          <w:szCs w:val="28"/>
        </w:rPr>
        <w:t xml:space="preserve">от 4 июня 2024г. № 4н «Об утверждении Графика документооборота при централизации учета».</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целях начи</w:t>
      </w:r>
      <w:r>
        <w:rPr>
          <w:rFonts w:ascii="Times New Roman" w:hAnsi="Times New Roman" w:cs="Times New Roman"/>
          <w:sz w:val="28"/>
          <w:szCs w:val="28"/>
        </w:rPr>
        <w:t xml:space="preserve">сления физическим лицам выплат по оплате труда, иных выплат обеспечено информационное взаимодействие с Единой информационной системой управления кадровым составом государственной гражданской службы Российской Федерации (далее – ЕИСУКС). Начисление выплат п</w:t>
      </w:r>
      <w:r>
        <w:rPr>
          <w:rFonts w:ascii="Times New Roman" w:hAnsi="Times New Roman" w:cs="Times New Roman"/>
          <w:sz w:val="28"/>
          <w:szCs w:val="28"/>
        </w:rPr>
        <w:t xml:space="preserve">о оплате труда осуществлялось 1 </w:t>
      </w:r>
      <w:r>
        <w:rPr>
          <w:rFonts w:ascii="Times New Roman" w:hAnsi="Times New Roman" w:cs="Times New Roman"/>
          <w:sz w:val="28"/>
          <w:szCs w:val="28"/>
        </w:rPr>
        <w:t xml:space="preserve">670 сотрудникам.</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рамках переданных по</w:t>
      </w:r>
      <w:r>
        <w:rPr>
          <w:rFonts w:ascii="Times New Roman" w:hAnsi="Times New Roman" w:cs="Times New Roman"/>
          <w:sz w:val="28"/>
          <w:szCs w:val="28"/>
        </w:rPr>
        <w:t xml:space="preserve">лномочий в соответствии с требованиями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w:t>
      </w:r>
      <w:r>
        <w:rPr>
          <w:rFonts w:ascii="Times New Roman" w:hAnsi="Times New Roman" w:cs="Times New Roman"/>
          <w:sz w:val="28"/>
          <w:szCs w:val="28"/>
        </w:rPr>
        <w:t xml:space="preserve">ии от 28.12.2010 № 191н (далее – приказ № 191н), Управлением</w:t>
      </w:r>
      <w:r>
        <w:rPr>
          <w:rFonts w:ascii="Times New Roman" w:hAnsi="Times New Roman" w:cs="Times New Roman"/>
          <w:sz w:val="28"/>
          <w:szCs w:val="28"/>
        </w:rPr>
        <w:br/>
      </w:r>
      <w:r>
        <w:rPr>
          <w:rFonts w:ascii="Times New Roman" w:hAnsi="Times New Roman" w:cs="Times New Roman"/>
          <w:sz w:val="28"/>
          <w:szCs w:val="28"/>
        </w:rPr>
        <w:t xml:space="preserve">в 2025 году обеспечено своевременное и достоверное составление и представление средствами подсистемы учета и отчетности ГИИС «Электронный бюджет» в Межрегионал</w:t>
      </w:r>
      <w:r>
        <w:rPr>
          <w:rFonts w:ascii="Times New Roman" w:hAnsi="Times New Roman" w:cs="Times New Roman"/>
          <w:sz w:val="28"/>
          <w:szCs w:val="28"/>
        </w:rPr>
        <w:t xml:space="preserve">ьное бухгалтерское управление 3 </w:t>
      </w:r>
      <w:r>
        <w:rPr>
          <w:rFonts w:ascii="Times New Roman" w:hAnsi="Times New Roman" w:cs="Times New Roman"/>
          <w:sz w:val="28"/>
          <w:szCs w:val="28"/>
        </w:rPr>
        <w:t xml:space="preserve">338 форм бюджетной отчетности, в том числе:</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14 ко</w:t>
      </w:r>
      <w:r>
        <w:rPr>
          <w:rFonts w:ascii="Times New Roman" w:hAnsi="Times New Roman" w:cs="Times New Roman"/>
          <w:sz w:val="28"/>
          <w:szCs w:val="28"/>
        </w:rPr>
        <w:t xml:space="preserve">мплектов годовой отчетности – 1 </w:t>
      </w:r>
      <w:r>
        <w:rPr>
          <w:rFonts w:ascii="Times New Roman" w:hAnsi="Times New Roman" w:cs="Times New Roman"/>
          <w:sz w:val="28"/>
          <w:szCs w:val="28"/>
        </w:rPr>
        <w:t xml:space="preserve">106 форма;</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42 компл</w:t>
      </w:r>
      <w:r>
        <w:rPr>
          <w:rFonts w:ascii="Times New Roman" w:hAnsi="Times New Roman" w:cs="Times New Roman"/>
          <w:sz w:val="28"/>
          <w:szCs w:val="28"/>
        </w:rPr>
        <w:t xml:space="preserve">екта квартальной отчетности – 1 </w:t>
      </w:r>
      <w:r>
        <w:rPr>
          <w:rFonts w:ascii="Times New Roman" w:hAnsi="Times New Roman" w:cs="Times New Roman"/>
          <w:sz w:val="28"/>
          <w:szCs w:val="28"/>
        </w:rPr>
        <w:t xml:space="preserve">622 формы;</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27 комплектов ежемесячной отчетности – 610 форм.</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соотв</w:t>
      </w:r>
      <w:r>
        <w:rPr>
          <w:rFonts w:ascii="Times New Roman" w:hAnsi="Times New Roman" w:cs="Times New Roman"/>
          <w:sz w:val="28"/>
          <w:szCs w:val="28"/>
        </w:rPr>
        <w:t xml:space="preserve">етствии с пунктом 274 приказа № </w:t>
      </w:r>
      <w:r>
        <w:rPr>
          <w:rFonts w:ascii="Times New Roman" w:hAnsi="Times New Roman" w:cs="Times New Roman"/>
          <w:sz w:val="28"/>
          <w:szCs w:val="28"/>
        </w:rPr>
        <w:t xml:space="preserve">191н Управлением сформирована и размещена на Едином портале бюджетной системы Российской Федерации в информационно-телек</w:t>
      </w:r>
      <w:r>
        <w:rPr>
          <w:rFonts w:ascii="Times New Roman" w:hAnsi="Times New Roman" w:cs="Times New Roman"/>
          <w:sz w:val="28"/>
          <w:szCs w:val="28"/>
        </w:rPr>
        <w:t xml:space="preserve">оммуникационной сети «Интернет» бюджетная отчетность по операциям администрирования поступлений в 25 бюджетов муниципальных образований в сроки, установленные финансовыми органами, по семи территориальным органам исполнительной власти в количестве 951 форм</w:t>
      </w:r>
      <w:r>
        <w:rPr>
          <w:rFonts w:ascii="Times New Roman" w:hAnsi="Times New Roman" w:cs="Times New Roman"/>
          <w:sz w:val="28"/>
          <w:szCs w:val="28"/>
        </w:rPr>
        <w:t xml:space="preserve">ы</w:t>
      </w:r>
      <w:r>
        <w:rPr>
          <w:rFonts w:ascii="Times New Roman" w:hAnsi="Times New Roman" w:cs="Times New Roman"/>
          <w:sz w:val="28"/>
          <w:szCs w:val="28"/>
        </w:rPr>
        <w:t xml:space="preserve"> бюджетной отчетности, в том числе:</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37 комплектов годовой отчетности – 422 формы;</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90 комплектов квартальной отчетности – 529 форм.</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За 2025 год Управлением средствами</w:t>
      </w:r>
      <w:r>
        <w:rPr>
          <w:rFonts w:ascii="Times New Roman" w:hAnsi="Times New Roman" w:cs="Times New Roman"/>
          <w:sz w:val="28"/>
          <w:szCs w:val="28"/>
        </w:rPr>
        <w:t xml:space="preserve"> прикладного программного обеспечения</w:t>
      </w:r>
      <w:r>
        <w:rPr>
          <w:rFonts w:ascii="Times New Roman" w:hAnsi="Times New Roman" w:cs="Times New Roman"/>
          <w:sz w:val="28"/>
          <w:szCs w:val="28"/>
        </w:rPr>
        <w:t xml:space="preserve"> 1С Предприятие «Калуга Астрал» представлено 402 формы статистической отчетности (П2, П2-инвест, 11-краткая), 5</w:t>
      </w:r>
      <w:r>
        <w:rPr>
          <w:rFonts w:ascii="Times New Roman" w:hAnsi="Times New Roman" w:cs="Times New Roman"/>
          <w:sz w:val="28"/>
          <w:szCs w:val="28"/>
        </w:rPr>
        <w:t xml:space="preserve">2 формы Расчетов по страховым взносам, 52 формы Сведений для ведения индивидуального (персонифицированного) учета и сведений о начисленных страховых взносах на обязательное социальное страхование от несчастных случаев на производстве и профессиональных заб</w:t>
      </w:r>
      <w:r>
        <w:rPr>
          <w:rFonts w:ascii="Times New Roman" w:hAnsi="Times New Roman" w:cs="Times New Roman"/>
          <w:sz w:val="28"/>
          <w:szCs w:val="28"/>
        </w:rPr>
        <w:t xml:space="preserve">олеваний (ЕФС-1), 104 формы Персонифицированных сведений о физических лицах, 1 145 форм отчетов в налоговые органы (налоговые декларации по налогу на имущество организаций, налогу на прибыль, акцизу, НДС, 6-НДФЛ, уведомления об исчисленных суммах налогов).</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2025 году Управлением проведены сверки данных бюджетного учета в отношении:</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имущества, составляющего государственную казну Российской Федерации, арестованного, конфискованного, обращенного в собственность государства, и иного изъятого имущества по более чем 126 тысячам объектов;</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дебиторской и кредиторской задолженности по администрируемым доходам по более чем 3 тысячам объектов;</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дебиторской и кредиторской задолженности по</w:t>
      </w:r>
      <w:r>
        <w:rPr>
          <w:rFonts w:ascii="Times New Roman" w:hAnsi="Times New Roman" w:cs="Times New Roman"/>
          <w:sz w:val="28"/>
          <w:szCs w:val="28"/>
        </w:rPr>
        <w:t xml:space="preserve"> расходам федерального бюджета – оформлено 1 </w:t>
      </w:r>
      <w:r>
        <w:rPr>
          <w:rFonts w:ascii="Times New Roman" w:hAnsi="Times New Roman" w:cs="Times New Roman"/>
          <w:sz w:val="28"/>
          <w:szCs w:val="28"/>
        </w:rPr>
        <w:t xml:space="preserve">633 Акта сверки взаимных расчетов по расходам федерального бюджета.</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Регулярно проводились сверки денежного содержания, установленного в ЕИСУКС с данными подсистемы управления оплатой труда ГИИС «Электронный бюджет.</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2025</w:t>
      </w:r>
      <w:r>
        <w:rPr>
          <w:rFonts w:ascii="Times New Roman" w:hAnsi="Times New Roman" w:cs="Times New Roman"/>
          <w:sz w:val="28"/>
          <w:szCs w:val="28"/>
        </w:rPr>
        <w:t xml:space="preserve"> году Управлением обработано 10 </w:t>
      </w:r>
      <w:r>
        <w:rPr>
          <w:rFonts w:ascii="Times New Roman" w:hAnsi="Times New Roman" w:cs="Times New Roman"/>
          <w:sz w:val="28"/>
          <w:szCs w:val="28"/>
        </w:rPr>
        <w:t xml:space="preserve">607 выписок по лицевым счетам субъектов централизованного учета, открытых в органах Федеральн</w:t>
      </w:r>
      <w:r>
        <w:rPr>
          <w:rFonts w:ascii="Times New Roman" w:hAnsi="Times New Roman" w:cs="Times New Roman"/>
          <w:sz w:val="28"/>
          <w:szCs w:val="28"/>
        </w:rPr>
        <w:t xml:space="preserve">ого казначейства, содержащих 29 111 кассовых поступлений и 36 </w:t>
      </w:r>
      <w:r>
        <w:rPr>
          <w:rFonts w:ascii="Times New Roman" w:hAnsi="Times New Roman" w:cs="Times New Roman"/>
          <w:sz w:val="28"/>
          <w:szCs w:val="28"/>
        </w:rPr>
        <w:t xml:space="preserve">823 документа, отражающих выбытие де</w:t>
      </w:r>
      <w:r>
        <w:rPr>
          <w:rFonts w:ascii="Times New Roman" w:hAnsi="Times New Roman" w:cs="Times New Roman"/>
          <w:sz w:val="28"/>
          <w:szCs w:val="28"/>
        </w:rPr>
        <w:t xml:space="preserve">нежных средств с лицевых счетов</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871"/>
        <w:contextualSpacing/>
        <w:jc w:val="both"/>
        <w:spacing w:before="0" w:line="240" w:lineRule="auto"/>
        <w:rPr>
          <w:rFonts w:ascii="Times New Roman" w:hAnsi="Times New Roman" w:cs="Times New Roman"/>
          <w:b/>
          <w:color w:val="auto"/>
          <w:sz w:val="28"/>
          <w:szCs w:val="28"/>
        </w:rPr>
      </w:pPr>
      <w:r/>
      <w:bookmarkStart w:id="13" w:name="_Toc13"/>
      <w:r>
        <w:rPr>
          <w:rFonts w:ascii="Times New Roman" w:hAnsi="Times New Roman" w:cs="Times New Roman"/>
          <w:b/>
          <w:color w:val="auto"/>
          <w:sz w:val="28"/>
          <w:szCs w:val="28"/>
        </w:rPr>
        <w:t xml:space="preserve">3.5. Исполнение </w:t>
      </w:r>
      <w:r>
        <w:rPr>
          <w:rFonts w:ascii="Times New Roman" w:hAnsi="Times New Roman" w:cs="Times New Roman"/>
          <w:b/>
          <w:color w:val="auto"/>
          <w:sz w:val="28"/>
          <w:szCs w:val="28"/>
        </w:rPr>
        <w:t xml:space="preserve">полномочий получателя средств федерального бюджета по перечислению в соотве</w:t>
      </w:r>
      <w:r>
        <w:rPr>
          <w:rFonts w:ascii="Times New Roman" w:hAnsi="Times New Roman" w:cs="Times New Roman"/>
          <w:b/>
          <w:color w:val="auto"/>
          <w:sz w:val="28"/>
          <w:szCs w:val="28"/>
        </w:rPr>
        <w:t xml:space="preserve">тствии с соглашением (законом, иным нормативным правовым актом) межбюджетных трансфертов, предоставляемых из федерального бюджета в бюджет субъекта Российской Федерации в форме субсидий, субвенций и иных межбюджетных трансфертов, имеющих целевое назначение</w:t>
      </w:r>
      <w:r>
        <w:rPr>
          <w:rFonts w:ascii="Times New Roman" w:hAnsi="Times New Roman" w:cs="Times New Roman"/>
          <w:b/>
          <w:color w:val="auto"/>
          <w:sz w:val="28"/>
          <w:szCs w:val="28"/>
        </w:rPr>
      </w:r>
      <w:bookmarkEnd w:id="13"/>
      <w:r>
        <w:rPr>
          <w:rFonts w:ascii="Times New Roman" w:hAnsi="Times New Roman" w:cs="Times New Roman"/>
          <w:b/>
          <w:color w:val="auto"/>
          <w:sz w:val="28"/>
          <w:szCs w:val="28"/>
        </w:rPr>
      </w:r>
      <w:r>
        <w:rPr>
          <w:rFonts w:ascii="Times New Roman" w:hAnsi="Times New Roman" w:cs="Times New Roman"/>
          <w:b/>
          <w:color w:val="auto"/>
          <w:sz w:val="28"/>
          <w:szCs w:val="28"/>
        </w:rPr>
      </w:r>
    </w:p>
    <w:p>
      <w:pPr>
        <w:ind w:firstLine="709"/>
        <w:jc w:val="both"/>
        <w:spacing w:after="0" w:line="240" w:lineRule="auto"/>
        <w:rPr>
          <w:rFonts w:ascii="Times New Roman" w:hAnsi="Times New Roman" w:cs="Times New Roman"/>
          <w:sz w:val="28"/>
          <w:szCs w:val="28"/>
          <w:highlight w:val="yellow"/>
        </w:rPr>
      </w:pPr>
      <w:r>
        <w:rPr>
          <w:rFonts w:ascii="Times New Roman" w:hAnsi="Times New Roman" w:cs="Times New Roman"/>
          <w:sz w:val="28"/>
          <w:szCs w:val="28"/>
          <w:highlight w:val="yellow"/>
        </w:rPr>
      </w:r>
      <w:r>
        <w:rPr>
          <w:rFonts w:ascii="Times New Roman" w:hAnsi="Times New Roman" w:cs="Times New Roman"/>
          <w:sz w:val="28"/>
          <w:szCs w:val="28"/>
          <w:highlight w:val="yellow"/>
        </w:rPr>
      </w:r>
      <w:r>
        <w:rPr>
          <w:rFonts w:ascii="Times New Roman" w:hAnsi="Times New Roman" w:cs="Times New Roman"/>
          <w:sz w:val="28"/>
          <w:szCs w:val="28"/>
          <w:highlight w:val="yellow"/>
        </w:rPr>
      </w:r>
    </w:p>
    <w:p>
      <w:pPr>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На основании правовых актов федеральных органов исполнительной власти, которым утверждены в установленном порядке как главным распорядителям средств федерального бюджета лимиты бюджетных обязательств</w:t>
      </w:r>
      <w:r>
        <w:rPr>
          <w:rFonts w:ascii="Times New Roman" w:hAnsi="Times New Roman" w:cs="Times New Roman"/>
          <w:sz w:val="28"/>
          <w:szCs w:val="28"/>
        </w:rPr>
        <w:t xml:space="preserve"> на предоставление целевых средств, о передаче полномочий по перечислению целевых средств органам Федерального казначейства, Управлению переданы полномочия и открыто 32 лицевых счета для учета операций по переданным полномочиям получателя бюджетных средств</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Министерство финансов Российской Федерации (глава 092);</w:t>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Министерство сельского хозяйства Российской Федерации (глава 082);</w:t>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Министерство труда и социаль</w:t>
      </w:r>
      <w:r>
        <w:rPr>
          <w:rFonts w:ascii="Times New Roman" w:hAnsi="Times New Roman" w:cs="Times New Roman"/>
          <w:sz w:val="28"/>
          <w:szCs w:val="28"/>
        </w:rPr>
        <w:t xml:space="preserve">ной защиты Российской Федерации</w:t>
      </w:r>
      <w:r>
        <w:rPr>
          <w:rFonts w:ascii="Times New Roman" w:hAnsi="Times New Roman" w:cs="Times New Roman"/>
          <w:sz w:val="28"/>
          <w:szCs w:val="28"/>
        </w:rPr>
        <w:br/>
      </w:r>
      <w:r>
        <w:rPr>
          <w:rFonts w:ascii="Times New Roman" w:hAnsi="Times New Roman" w:cs="Times New Roman"/>
          <w:sz w:val="28"/>
          <w:szCs w:val="28"/>
        </w:rPr>
        <w:t xml:space="preserve">(глава 149);</w:t>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Министерство здравоохранения Российской Федерации (глава 056);</w:t>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Министерство обороны Российской Федерации (глава 187);</w:t>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Федеральное агентство водных ресурсов (глава 052);</w:t>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Федеральное агентство лесного хозяйства (глава 053);</w:t>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Федеральное медико-биологическое агентство (глава 388);</w:t>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Министерство культуры Российской Федерации (глава 054);</w:t>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Министерство экономического ра</w:t>
      </w:r>
      <w:r>
        <w:rPr>
          <w:rFonts w:ascii="Times New Roman" w:hAnsi="Times New Roman" w:cs="Times New Roman"/>
          <w:sz w:val="28"/>
          <w:szCs w:val="28"/>
        </w:rPr>
        <w:t xml:space="preserve">звития Российской Федерации</w:t>
      </w:r>
      <w:r>
        <w:rPr>
          <w:rFonts w:ascii="Times New Roman" w:hAnsi="Times New Roman" w:cs="Times New Roman"/>
          <w:sz w:val="28"/>
          <w:szCs w:val="28"/>
        </w:rPr>
        <w:br/>
      </w:r>
      <w:r>
        <w:rPr>
          <w:rFonts w:ascii="Times New Roman" w:hAnsi="Times New Roman" w:cs="Times New Roman"/>
          <w:sz w:val="28"/>
          <w:szCs w:val="28"/>
        </w:rPr>
        <w:t xml:space="preserve">(глава 139);</w:t>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Министерство энергетики Российской Федерации (глава 022);</w:t>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Федеральная служба по труду и занятости (глава 150);</w:t>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Министерство Российской Федерации по делам гражданской обороны, чрезвычайным ситуациям и ликвидации</w:t>
      </w:r>
      <w:r>
        <w:rPr>
          <w:rFonts w:ascii="Times New Roman" w:hAnsi="Times New Roman" w:cs="Times New Roman"/>
          <w:sz w:val="28"/>
          <w:szCs w:val="28"/>
        </w:rPr>
        <w:t xml:space="preserve"> последствий стихийных бедствий</w:t>
      </w:r>
      <w:r>
        <w:rPr>
          <w:rFonts w:ascii="Times New Roman" w:hAnsi="Times New Roman" w:cs="Times New Roman"/>
          <w:sz w:val="28"/>
          <w:szCs w:val="28"/>
        </w:rPr>
        <w:br/>
      </w:r>
      <w:r>
        <w:rPr>
          <w:rFonts w:ascii="Times New Roman" w:hAnsi="Times New Roman" w:cs="Times New Roman"/>
          <w:sz w:val="28"/>
          <w:szCs w:val="28"/>
        </w:rPr>
        <w:t xml:space="preserve">(глава 177);</w:t>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Министерство строительства и жилищно-коммунального хозяйства Российской Федерации (глава 069);</w:t>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Федеральная служба государственной статистики (глава 157);</w:t>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Министерство связи и массовых коммуникаций Российской Федерации (глава 071);</w:t>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Министерство промышленности </w:t>
      </w:r>
      <w:r>
        <w:rPr>
          <w:rFonts w:ascii="Times New Roman" w:hAnsi="Times New Roman" w:cs="Times New Roman"/>
          <w:sz w:val="28"/>
          <w:szCs w:val="28"/>
        </w:rPr>
        <w:t xml:space="preserve">и торговли Российской Федерации</w:t>
      </w:r>
      <w:r>
        <w:rPr>
          <w:rFonts w:ascii="Times New Roman" w:hAnsi="Times New Roman" w:cs="Times New Roman"/>
          <w:sz w:val="28"/>
          <w:szCs w:val="28"/>
        </w:rPr>
        <w:br/>
      </w:r>
      <w:r>
        <w:rPr>
          <w:rFonts w:ascii="Times New Roman" w:hAnsi="Times New Roman" w:cs="Times New Roman"/>
          <w:sz w:val="28"/>
          <w:szCs w:val="28"/>
        </w:rPr>
        <w:t xml:space="preserve">(глава 020);</w:t>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Федеральное дорожное агентство (глава 108);</w:t>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Судебный департамент при Верх</w:t>
      </w:r>
      <w:r>
        <w:rPr>
          <w:rFonts w:ascii="Times New Roman" w:hAnsi="Times New Roman" w:cs="Times New Roman"/>
          <w:sz w:val="28"/>
          <w:szCs w:val="28"/>
        </w:rPr>
        <w:t xml:space="preserve">овном Суде Российской Федерации</w:t>
      </w:r>
      <w:r>
        <w:rPr>
          <w:rFonts w:ascii="Times New Roman" w:hAnsi="Times New Roman" w:cs="Times New Roman"/>
          <w:sz w:val="28"/>
          <w:szCs w:val="28"/>
        </w:rPr>
        <w:br/>
      </w:r>
      <w:r>
        <w:rPr>
          <w:rFonts w:ascii="Times New Roman" w:hAnsi="Times New Roman" w:cs="Times New Roman"/>
          <w:sz w:val="28"/>
          <w:szCs w:val="28"/>
        </w:rPr>
        <w:t xml:space="preserve">(глава 438);</w:t>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Министерство внутренних дел Российской Федерации (глава 188);</w:t>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Федеральное агентство по делам молодежи (глава 091);</w:t>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Федеральная служба по надзору в сфере образования и науки (глава 077);</w:t>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Федеральное агентство по делам национальностей (глава 380);</w:t>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Министерство природных ресурсов и экологии Российской Федерации (глава 051);</w:t>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Министерство просвещения Российской Федерации (глава 073);</w:t>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Министерство науки и высшего о</w:t>
      </w:r>
      <w:r>
        <w:rPr>
          <w:rFonts w:ascii="Times New Roman" w:hAnsi="Times New Roman" w:cs="Times New Roman"/>
          <w:sz w:val="28"/>
          <w:szCs w:val="28"/>
        </w:rPr>
        <w:t xml:space="preserve">бразования Российской Федерации</w:t>
      </w:r>
      <w:r>
        <w:rPr>
          <w:rFonts w:ascii="Times New Roman" w:hAnsi="Times New Roman" w:cs="Times New Roman"/>
          <w:sz w:val="28"/>
          <w:szCs w:val="28"/>
        </w:rPr>
        <w:br/>
      </w:r>
      <w:r>
        <w:rPr>
          <w:rFonts w:ascii="Times New Roman" w:hAnsi="Times New Roman" w:cs="Times New Roman"/>
          <w:sz w:val="28"/>
          <w:szCs w:val="28"/>
        </w:rPr>
        <w:t xml:space="preserve">(глава 075);</w:t>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Федеральная служба государственной регистрации, кадастра и картографии (глава 321);</w:t>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Министерство юстиции Российской Федерации (глава 318);</w:t>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Министерство спорта Р</w:t>
      </w:r>
      <w:r>
        <w:rPr>
          <w:rFonts w:ascii="Times New Roman" w:hAnsi="Times New Roman" w:cs="Times New Roman"/>
          <w:sz w:val="28"/>
          <w:szCs w:val="28"/>
        </w:rPr>
        <w:t xml:space="preserve">оссийской Федерации (глава 777)</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2025 году на указанных лицевых с</w:t>
      </w:r>
      <w:r>
        <w:rPr>
          <w:rFonts w:ascii="Times New Roman" w:hAnsi="Times New Roman" w:cs="Times New Roman"/>
          <w:sz w:val="28"/>
          <w:szCs w:val="28"/>
        </w:rPr>
        <w:t xml:space="preserve">четах отражены принятые на учет </w:t>
      </w:r>
      <w:r>
        <w:rPr>
          <w:rFonts w:ascii="Times New Roman" w:hAnsi="Times New Roman" w:cs="Times New Roman"/>
          <w:sz w:val="28"/>
          <w:szCs w:val="28"/>
        </w:rPr>
        <w:t xml:space="preserve">113</w:t>
      </w:r>
      <w:r>
        <w:rPr>
          <w:rFonts w:ascii="Times New Roman" w:hAnsi="Times New Roman" w:cs="Times New Roman"/>
          <w:sz w:val="28"/>
          <w:szCs w:val="28"/>
        </w:rPr>
        <w:t xml:space="preserve"> </w:t>
      </w:r>
      <w:r>
        <w:rPr>
          <w:rFonts w:ascii="Times New Roman" w:hAnsi="Times New Roman" w:cs="Times New Roman"/>
          <w:sz w:val="28"/>
          <w:szCs w:val="28"/>
        </w:rPr>
        <w:t xml:space="preserve">Соглашений о предоставлении субсидий, бюджетных инвестиций, межбюджетных </w:t>
      </w:r>
      <w:r>
        <w:rPr>
          <w:rFonts w:ascii="Times New Roman" w:hAnsi="Times New Roman" w:cs="Times New Roman"/>
          <w:sz w:val="28"/>
          <w:szCs w:val="28"/>
        </w:rPr>
        <w:t xml:space="preserve">трансфертов на общую сумму 33,7 млрд. </w:t>
      </w:r>
      <w:r>
        <w:rPr>
          <w:rFonts w:ascii="Times New Roman" w:hAnsi="Times New Roman" w:cs="Times New Roman"/>
          <w:sz w:val="28"/>
          <w:szCs w:val="28"/>
        </w:rPr>
        <w:t xml:space="preserve">руб., лимиты бюдже</w:t>
      </w:r>
      <w:r>
        <w:rPr>
          <w:rFonts w:ascii="Times New Roman" w:hAnsi="Times New Roman" w:cs="Times New Roman"/>
          <w:sz w:val="28"/>
          <w:szCs w:val="28"/>
        </w:rPr>
        <w:t xml:space="preserve">тных обязательств на сумму 33,7 млрд. </w:t>
      </w:r>
      <w:r>
        <w:rPr>
          <w:rFonts w:ascii="Times New Roman" w:hAnsi="Times New Roman" w:cs="Times New Roman"/>
          <w:sz w:val="28"/>
          <w:szCs w:val="28"/>
        </w:rPr>
        <w:t xml:space="preserve">руб., исполнены Распоряжения о совершении казначейского </w:t>
      </w:r>
      <w:r>
        <w:rPr>
          <w:rFonts w:ascii="Times New Roman" w:hAnsi="Times New Roman" w:cs="Times New Roman"/>
          <w:sz w:val="28"/>
          <w:szCs w:val="28"/>
        </w:rPr>
        <w:t xml:space="preserve">платежа из федерального бюджета в бюджет субъекта Российской Федерации в пределах суммы, необходимой для оплаты денежных обязательств по расходам получателей средств бюджета субъекта Российской Федерации, источником финансового обеспечения которых являются</w:t>
      </w:r>
      <w:r>
        <w:rPr>
          <w:rFonts w:ascii="Times New Roman" w:hAnsi="Times New Roman" w:cs="Times New Roman"/>
          <w:sz w:val="28"/>
          <w:szCs w:val="28"/>
        </w:rPr>
        <w:t xml:space="preserve"> целевые средства на сумму 33,3 млрд. </w:t>
      </w:r>
      <w:r>
        <w:rPr>
          <w:rFonts w:ascii="Times New Roman" w:hAnsi="Times New Roman" w:cs="Times New Roman"/>
          <w:sz w:val="28"/>
          <w:szCs w:val="28"/>
        </w:rPr>
        <w:t xml:space="preserve">руб.</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r>
        <w:rPr>
          <w:rFonts w:ascii="Times New Roman" w:hAnsi="Times New Roman" w:eastAsia="Times New Roman" w:cs="Times New Roman"/>
          <w:bCs/>
          <w:sz w:val="28"/>
          <w:szCs w:val="28"/>
          <w:lang w:eastAsia="ru-RU"/>
        </w:rPr>
      </w:r>
      <w:r>
        <w:rPr>
          <w:rFonts w:ascii="Times New Roman" w:hAnsi="Times New Roman" w:eastAsia="Times New Roman" w:cs="Times New Roman"/>
          <w:bCs/>
          <w:sz w:val="28"/>
          <w:szCs w:val="28"/>
          <w:lang w:eastAsia="ru-RU"/>
        </w:rPr>
      </w:r>
    </w:p>
    <w:p>
      <w:pPr>
        <w:pStyle w:val="871"/>
        <w:contextualSpacing/>
        <w:jc w:val="both"/>
        <w:spacing w:before="0" w:line="240" w:lineRule="auto"/>
        <w:rPr>
          <w:rFonts w:ascii="Times New Roman" w:hAnsi="Times New Roman" w:cs="Times New Roman"/>
          <w:b/>
          <w:color w:val="auto"/>
          <w:sz w:val="28"/>
          <w:szCs w:val="28"/>
        </w:rPr>
      </w:pPr>
      <w:r/>
      <w:bookmarkStart w:id="14" w:name="_Toc14"/>
      <w:r>
        <w:rPr>
          <w:rFonts w:hint="default" w:ascii="Times New Roman" w:hAnsi="Times New Roman" w:eastAsia="Times New Roman" w:cs="Times New Roman"/>
          <w:b/>
          <w:color w:val="auto"/>
          <w:sz w:val="28"/>
          <w:szCs w:val="28"/>
        </w:rPr>
        <w:t xml:space="preserve">I</w:t>
      </w:r>
      <w:r>
        <w:rPr>
          <w:rFonts w:hint="default" w:ascii="Times New Roman" w:hAnsi="Times New Roman" w:eastAsia="Times New Roman" w:cs="Times New Roman"/>
          <w:b/>
          <w:color w:val="auto"/>
          <w:sz w:val="28"/>
          <w:szCs w:val="28"/>
        </w:rPr>
        <w:t xml:space="preserve">V</w:t>
      </w:r>
      <w:r>
        <w:rPr>
          <w:rFonts w:ascii="Times New Roman" w:hAnsi="Times New Roman" w:eastAsia="Times New Roman" w:cs="Times New Roman"/>
          <w:b/>
          <w:color w:val="auto"/>
          <w:sz w:val="28"/>
          <w:szCs w:val="28"/>
        </w:rPr>
        <w:t xml:space="preserve">.</w:t>
      </w:r>
      <w:r>
        <w:rPr>
          <w:rFonts w:ascii="Times New Roman" w:hAnsi="Times New Roman" w:cs="Times New Roman"/>
          <w:b/>
          <w:color w:val="auto"/>
          <w:sz w:val="28"/>
          <w:szCs w:val="28"/>
        </w:rPr>
        <w:t xml:space="preserve"> Исполнение функций контрольной системы Федерального казначейства</w:t>
      </w:r>
      <w:r>
        <w:rPr>
          <w:rFonts w:ascii="Times New Roman" w:hAnsi="Times New Roman" w:cs="Times New Roman"/>
          <w:b/>
          <w:color w:val="auto"/>
          <w:sz w:val="28"/>
          <w:szCs w:val="28"/>
        </w:rPr>
      </w:r>
      <w:bookmarkEnd w:id="14"/>
      <w:r>
        <w:rPr>
          <w:rFonts w:ascii="Times New Roman" w:hAnsi="Times New Roman" w:cs="Times New Roman"/>
          <w:b/>
          <w:color w:val="auto"/>
          <w:sz w:val="28"/>
          <w:szCs w:val="28"/>
        </w:rPr>
      </w:r>
      <w:r>
        <w:rPr>
          <w:rFonts w:ascii="Times New Roman" w:hAnsi="Times New Roman" w:cs="Times New Roman"/>
          <w:b/>
          <w:color w:val="auto"/>
          <w:sz w:val="28"/>
          <w:szCs w:val="28"/>
        </w:rPr>
      </w:r>
    </w:p>
    <w:p>
      <w:pPr>
        <w:contextualSpacing/>
        <w:ind w:firstLine="709"/>
        <w:jc w:val="both"/>
        <w:spacing w:after="0" w:line="240" w:lineRule="auto"/>
        <w:rPr>
          <w:rFonts w:ascii="Times New Roman" w:hAnsi="Times New Roman" w:cs="Times New Roman"/>
          <w:b/>
          <w:sz w:val="28"/>
          <w:szCs w:val="28"/>
        </w:rPr>
      </w:pPr>
      <w:r>
        <w:rPr>
          <w:rFonts w:ascii="Times New Roman" w:hAnsi="Times New Roman" w:cs="Times New Roman"/>
          <w:b/>
          <w:sz w:val="28"/>
          <w:szCs w:val="28"/>
        </w:rPr>
      </w:r>
      <w:r>
        <w:rPr>
          <w:rFonts w:ascii="Times New Roman" w:hAnsi="Times New Roman" w:cs="Times New Roman"/>
          <w:b/>
          <w:sz w:val="28"/>
          <w:szCs w:val="28"/>
        </w:rPr>
      </w:r>
      <w:r>
        <w:rPr>
          <w:rFonts w:ascii="Times New Roman" w:hAnsi="Times New Roman" w:cs="Times New Roman"/>
          <w:b/>
          <w:sz w:val="28"/>
          <w:szCs w:val="28"/>
        </w:rPr>
      </w:r>
    </w:p>
    <w:p>
      <w:pPr>
        <w:pStyle w:val="871"/>
        <w:contextualSpacing/>
        <w:jc w:val="both"/>
        <w:spacing w:before="0" w:line="240" w:lineRule="auto"/>
        <w:rPr>
          <w:rFonts w:ascii="Times New Roman" w:hAnsi="Times New Roman" w:cs="Times New Roman"/>
          <w:b/>
          <w:color w:val="auto"/>
          <w:sz w:val="28"/>
          <w:szCs w:val="28"/>
        </w:rPr>
      </w:pPr>
      <w:r/>
      <w:bookmarkStart w:id="15" w:name="_Toc15"/>
      <w:r>
        <w:rPr>
          <w:rFonts w:ascii="Times New Roman" w:hAnsi="Times New Roman" w:cs="Times New Roman"/>
          <w:b/>
          <w:color w:val="auto"/>
          <w:sz w:val="28"/>
          <w:szCs w:val="28"/>
        </w:rPr>
        <w:t xml:space="preserve">4.1. Исполнение полномочий органа внутреннего государственного финансового контроля по осуществлению контроля в финансово-бюджетной сфере</w:t>
      </w:r>
      <w:r>
        <w:rPr>
          <w:rFonts w:ascii="Times New Roman" w:hAnsi="Times New Roman" w:cs="Times New Roman"/>
          <w:b/>
          <w:color w:val="auto"/>
          <w:sz w:val="28"/>
          <w:szCs w:val="28"/>
        </w:rPr>
      </w:r>
      <w:bookmarkEnd w:id="15"/>
      <w:r>
        <w:rPr>
          <w:rFonts w:ascii="Times New Roman" w:hAnsi="Times New Roman" w:cs="Times New Roman"/>
          <w:b/>
          <w:color w:val="auto"/>
          <w:sz w:val="28"/>
          <w:szCs w:val="28"/>
        </w:rPr>
      </w:r>
      <w:r>
        <w:rPr>
          <w:rFonts w:ascii="Times New Roman" w:hAnsi="Times New Roman" w:cs="Times New Roman"/>
          <w:b/>
          <w:color w:val="auto"/>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Управлением в 2025 году было проведено 54 </w:t>
      </w:r>
      <w:r>
        <w:rPr>
          <w:rFonts w:ascii="Times New Roman" w:hAnsi="Times New Roman" w:cs="Times New Roman"/>
          <w:sz w:val="28"/>
          <w:szCs w:val="28"/>
        </w:rPr>
        <w:t xml:space="preserve">контрольных мероприятия</w:t>
      </w:r>
      <w:r>
        <w:rPr>
          <w:rFonts w:ascii="Times New Roman" w:hAnsi="Times New Roman" w:cs="Times New Roman"/>
          <w:sz w:val="28"/>
          <w:szCs w:val="28"/>
        </w:rPr>
        <w:br/>
      </w:r>
      <w:r>
        <w:rPr>
          <w:rFonts w:ascii="Times New Roman" w:hAnsi="Times New Roman" w:cs="Times New Roman"/>
          <w:sz w:val="28"/>
          <w:szCs w:val="28"/>
        </w:rPr>
        <w:t xml:space="preserve">(49 проверок, 5 обследований), из которых:</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- 41 контрольное мероприятие проведено в соответствии с Планом контрольных мероприятий Управления Федерального казначейства по Челябинской области (40 проверок, 1 обследование),</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- 13 внеплановых контрольных мероприятий проведено по обращениям (поручениям) иных органов и организаций (9 проверок, 4 обследования).</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Контрольными мероприятиями охвачено 178,5 млрд. рублей бюджетных и иных средств. В ходе проведения 51 контрольного мероприятия (в том числе 2 обследования) выявлено нарушений НПА на сумму 4,4 млрд. рублей.</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highlight w:val="none"/>
        </w:rPr>
      </w:pPr>
      <w:r>
        <w:rPr>
          <w:rFonts w:ascii="Times New Roman" w:hAnsi="Times New Roman" w:cs="Times New Roman"/>
          <w:sz w:val="28"/>
          <w:szCs w:val="28"/>
        </w:rPr>
        <w:t xml:space="preserve">Решения по реализации материалов контрольных мероприятий были приняты по результатам их рассмотрения на 21 заседании Контрольной комиссии Управления.</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рамках реализации результатов контрольных мероприятий в 2025 году Управлением направлено 49 представлений на сумму выявленных нарушений</w:t>
      </w:r>
      <w:r>
        <w:rPr>
          <w:rFonts w:ascii="Times New Roman" w:hAnsi="Times New Roman" w:cs="Times New Roman"/>
          <w:sz w:val="28"/>
          <w:szCs w:val="28"/>
        </w:rPr>
        <w:br/>
      </w:r>
      <w:r>
        <w:rPr>
          <w:rFonts w:ascii="Times New Roman" w:hAnsi="Times New Roman" w:cs="Times New Roman"/>
          <w:sz w:val="28"/>
          <w:szCs w:val="28"/>
        </w:rPr>
        <w:t xml:space="preserve">4,4 млрд. рублей. </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Объектами контроля испо</w:t>
      </w:r>
      <w:r>
        <w:rPr>
          <w:rFonts w:ascii="Times New Roman" w:hAnsi="Times New Roman" w:cs="Times New Roman"/>
          <w:sz w:val="28"/>
          <w:szCs w:val="28"/>
        </w:rPr>
        <w:t xml:space="preserve">лнено 49 представлений на сумму</w:t>
      </w:r>
      <w:r>
        <w:rPr>
          <w:rFonts w:ascii="Times New Roman" w:hAnsi="Times New Roman" w:cs="Times New Roman"/>
          <w:sz w:val="28"/>
          <w:szCs w:val="28"/>
        </w:rPr>
        <w:br/>
      </w:r>
      <w:r>
        <w:rPr>
          <w:rFonts w:ascii="Times New Roman" w:hAnsi="Times New Roman" w:cs="Times New Roman"/>
          <w:sz w:val="28"/>
          <w:szCs w:val="28"/>
        </w:rPr>
        <w:t xml:space="preserve">4,1 млрд. рублей, включая представления прошлых лет. Устранено нарушений на сумму 57,8 млн. рублей, в том числе общая сумма средств, поступивших непосредственно в доход федерального бюджета, составила 57,4 млн. рублей.</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Кроме того, объектами контроля по вынесенным представлениям направлено 4 Заявления (жалобы) на сумму 168,8 млн. рублей, которые находятся на рассмотрении в суде. </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По фактам выявленных нарушений составлено 7 протоколов об административных правонарушениях. В 2025 году по 1 постановлению сумма наложенных штрафов составила 0,002 млн. рублей, отменено судом.</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Сумма взысканных штрафов в 2025 году составила 0,002 млн. рублей, возвращено по решению суда.</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eastAsia="Times New Roman" w:cs="Times New Roman"/>
          <w:sz w:val="28"/>
          <w:szCs w:val="28"/>
        </w:rPr>
      </w:pPr>
      <w:r>
        <w:rPr>
          <w:rFonts w:ascii="Times New Roman" w:hAnsi="Times New Roman" w:cs="Times New Roman"/>
          <w:sz w:val="28"/>
          <w:szCs w:val="28"/>
        </w:rPr>
        <w:t xml:space="preserve">Динамика количества контрольных мероприятий, проведенных Управлением, и количества контрольных мероприятий, в ходе которых выявлены нарушения, c 2016 по 202</w:t>
      </w:r>
      <w:r>
        <w:rPr>
          <w:rFonts w:ascii="Times New Roman" w:hAnsi="Times New Roman" w:cs="Times New Roman"/>
          <w:sz w:val="28"/>
          <w:szCs w:val="28"/>
        </w:rPr>
        <w:t xml:space="preserve">5</w:t>
      </w:r>
      <w:r>
        <w:rPr>
          <w:rFonts w:ascii="Times New Roman" w:hAnsi="Times New Roman" w:cs="Times New Roman"/>
          <w:sz w:val="28"/>
          <w:szCs w:val="28"/>
        </w:rPr>
        <w:t xml:space="preserve"> год представлена на диаграмме 3.</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highlight w:val="none"/>
        </w:rPr>
      </w:r>
      <w:r>
        <w:rPr>
          <w:rFonts w:ascii="Times New Roman" w:hAnsi="Times New Roman" w:cs="Times New Roman"/>
          <w:sz w:val="28"/>
          <w:szCs w:val="28"/>
        </w:rPr>
      </w:r>
      <w:r>
        <w:rPr>
          <w:rFonts w:ascii="Times New Roman" w:hAnsi="Times New Roman" w:cs="Times New Roman"/>
          <w:sz w:val="28"/>
          <w:szCs w:val="28"/>
        </w:rPr>
      </w:r>
    </w:p>
    <w:p>
      <w:pPr>
        <w:contextualSpacing/>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contextualSpacing/>
        <w:jc w:val="center"/>
        <w:spacing w:after="0" w:line="240" w:lineRule="auto"/>
        <w:rPr>
          <w:rFonts w:ascii="Times New Roman" w:hAnsi="Times New Roman" w:cs="Times New Roman"/>
          <w:sz w:val="28"/>
          <w:szCs w:val="28"/>
        </w:rPr>
      </w:pPr>
      <w:r>
        <w:rPr>
          <w:rFonts w:ascii="Times New Roman" w:hAnsi="Times New Roman" w:cs="Times New Roman"/>
          <w:sz w:val="28"/>
          <w:szCs w:val="28"/>
          <w:lang w:eastAsia="ru-RU"/>
        </w:rPr>
        <mc:AlternateContent>
          <mc:Choice Requires="wpg">
            <w:drawing>
              <wp:inline xmlns:wp="http://schemas.openxmlformats.org/drawingml/2006/wordprocessingDrawing" distT="0" distB="0" distL="0" distR="0">
                <wp:extent cx="6352540" cy="5255260"/>
                <wp:effectExtent l="0" t="0" r="0" b="2540"/>
                <wp:docPr id="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pic:cNvPicPr>
                        <pic:nvPr/>
                      </pic:nvPicPr>
                      <pic:blipFill>
                        <a:blip r:embed="rId14"/>
                        <a:stretch/>
                      </pic:blipFill>
                      <pic:spPr bwMode="auto">
                        <a:xfrm>
                          <a:off x="0" y="0"/>
                          <a:ext cx="6352540" cy="5255260"/>
                        </a:xfrm>
                        <a:prstGeom prst="rect">
                          <a:avLst/>
                        </a:prstGeom>
                        <a:noFill/>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500.20pt;height:413.80pt;mso-wrap-distance-left:0.00pt;mso-wrap-distance-top:0.00pt;mso-wrap-distance-right:0.00pt;mso-wrap-distance-bottom:0.00pt;" stroked="false">
                <v:path textboxrect="0,0,0,0"/>
                <v:imagedata r:id="rId14" o:title=""/>
              </v:shape>
            </w:pict>
          </mc:Fallback>
        </mc:AlternateContent>
      </w:r>
      <w:r>
        <w:rPr>
          <w:rFonts w:ascii="Times New Roman" w:hAnsi="Times New Roman" w:cs="Times New Roman"/>
          <w:sz w:val="28"/>
          <w:szCs w:val="28"/>
        </w:rPr>
      </w:r>
      <w:r>
        <w:rPr>
          <w:rFonts w:ascii="Times New Roman" w:hAnsi="Times New Roman" w:cs="Times New Roman"/>
          <w:sz w:val="28"/>
          <w:szCs w:val="28"/>
        </w:rPr>
      </w:r>
    </w:p>
    <w:p>
      <w:pPr>
        <w:contextualSpacing/>
        <w:jc w:val="center"/>
        <w:spacing w:after="0" w:line="240" w:lineRule="auto"/>
        <w:rPr>
          <w:rFonts w:ascii="Times New Roman" w:hAnsi="Times New Roman" w:eastAsia="Times New Roman" w:cs="Times New Roman"/>
          <w:sz w:val="28"/>
          <w:szCs w:val="28"/>
        </w:rPr>
      </w:pPr>
      <w:r>
        <w:rPr>
          <w:rFonts w:ascii="Times New Roman" w:hAnsi="Times New Roman" w:cs="Times New Roman"/>
          <w:sz w:val="28"/>
          <w:szCs w:val="28"/>
        </w:rPr>
        <w:t xml:space="preserve">Диаграмма 3. </w:t>
      </w:r>
      <w:r>
        <w:rPr>
          <w:rFonts w:ascii="Times New Roman" w:hAnsi="Times New Roman" w:eastAsia="Times New Roman" w:cs="Times New Roman"/>
          <w:sz w:val="28"/>
          <w:szCs w:val="28"/>
        </w:rPr>
        <w:t xml:space="preserve">Динамика количества контрольных мероприятий, проведенных Управлением, и количества контрольных мероприятий, в ходе которых выявлены нарушения</w:t>
      </w:r>
      <w:r>
        <w:rPr>
          <w:rFonts w:ascii="Times New Roman" w:hAnsi="Times New Roman" w:eastAsia="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eastAsia="Times New Roman" w:cs="Times New Roman"/>
          <w:sz w:val="28"/>
          <w:szCs w:val="28"/>
        </w:rPr>
        <w:t xml:space="preserve"> 2016</w:t>
      </w:r>
      <w:r>
        <w:rPr>
          <w:rFonts w:ascii="Times New Roman" w:hAnsi="Times New Roman" w:eastAsia="Times New Roman" w:cs="Times New Roman"/>
          <w:sz w:val="28"/>
          <w:szCs w:val="28"/>
        </w:rPr>
        <w:t xml:space="preserve"> </w:t>
      </w:r>
      <w:r>
        <w:rPr>
          <w:rFonts w:ascii="Times New Roman" w:hAnsi="Times New Roman" w:eastAsia="Times New Roman" w:cs="Times New Roman"/>
          <w:sz w:val="28"/>
          <w:szCs w:val="28"/>
        </w:rPr>
        <w:t xml:space="preserve">по</w:t>
      </w:r>
      <w:r>
        <w:rPr>
          <w:rFonts w:ascii="Times New Roman" w:hAnsi="Times New Roman" w:eastAsia="Times New Roman" w:cs="Times New Roman"/>
          <w:sz w:val="28"/>
          <w:szCs w:val="28"/>
        </w:rPr>
        <w:t xml:space="preserve"> 202</w:t>
      </w:r>
      <w:r>
        <w:rPr>
          <w:rFonts w:ascii="Times New Roman" w:hAnsi="Times New Roman" w:eastAsia="Times New Roman" w:cs="Times New Roman"/>
          <w:sz w:val="28"/>
          <w:szCs w:val="28"/>
        </w:rPr>
        <w:t xml:space="preserve">5</w:t>
      </w:r>
      <w:r>
        <w:rPr>
          <w:rFonts w:ascii="Times New Roman" w:hAnsi="Times New Roman" w:eastAsia="Times New Roman" w:cs="Times New Roman"/>
          <w:sz w:val="28"/>
          <w:szCs w:val="28"/>
        </w:rPr>
        <w:t xml:space="preserve"> год</w:t>
      </w:r>
      <w:r>
        <w:rPr>
          <w:rFonts w:ascii="Times New Roman" w:hAnsi="Times New Roman" w:eastAsia="Times New Roman" w:cs="Times New Roman"/>
          <w:sz w:val="28"/>
          <w:szCs w:val="28"/>
        </w:rPr>
        <w:t xml:space="preserve">, шт.</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Продолжается, начатая в 2022 году, во исполнение приказа Федерального казначейства от 10 января 2022 г. № 1 «Об утверждении Временного порядка организации работы при осущес</w:t>
      </w:r>
      <w:r>
        <w:rPr>
          <w:rFonts w:ascii="Times New Roman" w:hAnsi="Times New Roman" w:cs="Times New Roman"/>
          <w:sz w:val="28"/>
          <w:szCs w:val="28"/>
        </w:rPr>
        <w:t xml:space="preserve">твлении Федеральным казначейством государственного финансового контроля за использованием средств инфраструктурных бюджетных кредитов и специальных казначейских кредитов» (с изменением), работа в целях осуществления государственного финансового контроля за</w:t>
      </w:r>
      <w:r>
        <w:rPr>
          <w:rFonts w:ascii="Times New Roman" w:hAnsi="Times New Roman" w:cs="Times New Roman"/>
          <w:sz w:val="28"/>
          <w:szCs w:val="28"/>
        </w:rPr>
        <w:t xml:space="preserve"> использованием средств бюджетных кредитов, предоставленных из федерального бюджета на финансовое обеспечение реализации инфраструктурных проектов, и бюджетных кредитов, предоставленных за счет временно свободных средств единого счета федерального бюджета </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Резул</w:t>
      </w:r>
      <w:r>
        <w:rPr>
          <w:rFonts w:ascii="Times New Roman" w:hAnsi="Times New Roman" w:cs="Times New Roman"/>
          <w:sz w:val="28"/>
          <w:szCs w:val="28"/>
        </w:rPr>
        <w:t xml:space="preserve">ьтаты мониторинга реализации мероприятий инфраструктурных проектов и бюджетных кредитов направляются в Инфраструктурный бюджетный штаб Межрегионального контрольно-ревизионного управления Федерального казначейства на постоянной основе в еженедельном режиме.</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Кроме того, начиная с октября 2025 года, оперативная информация о кассовых операциях за счет средств инфраструктурных бюджетных кредитов еженедельно направляется в Межрегиональное управление Федерального казначейства в сфере управления ликвидностью</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871"/>
        <w:jc w:val="both"/>
        <w:rPr>
          <w:rFonts w:ascii="Times New Roman" w:hAnsi="Times New Roman" w:cs="Times New Roman"/>
          <w:b/>
          <w:color w:val="auto"/>
          <w:sz w:val="28"/>
          <w:szCs w:val="28"/>
        </w:rPr>
      </w:pPr>
      <w:r/>
      <w:bookmarkStart w:id="16" w:name="_Toc16"/>
      <w:r>
        <w:rPr>
          <w:rFonts w:ascii="Times New Roman" w:hAnsi="Times New Roman" w:cs="Times New Roman"/>
          <w:b/>
          <w:color w:val="auto"/>
          <w:sz w:val="28"/>
          <w:szCs w:val="28"/>
        </w:rPr>
        <w:t xml:space="preserve">4.2. Исполнение бюджетных полномочий органа внутре</w:t>
      </w:r>
      <w:r>
        <w:rPr>
          <w:rFonts w:ascii="Times New Roman" w:hAnsi="Times New Roman" w:cs="Times New Roman"/>
          <w:b/>
          <w:color w:val="auto"/>
          <w:sz w:val="28"/>
          <w:szCs w:val="28"/>
        </w:rPr>
        <w:t xml:space="preserve">ннего государственного финансового контроля по анализу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w:t>
      </w:r>
      <w:r>
        <w:rPr>
          <w:rFonts w:ascii="Times New Roman" w:hAnsi="Times New Roman" w:cs="Times New Roman"/>
          <w:b/>
          <w:color w:val="auto"/>
          <w:sz w:val="28"/>
          <w:szCs w:val="28"/>
        </w:rPr>
      </w:r>
      <w:bookmarkEnd w:id="16"/>
      <w:r>
        <w:rPr>
          <w:rFonts w:ascii="Times New Roman" w:hAnsi="Times New Roman" w:cs="Times New Roman"/>
          <w:b/>
          <w:color w:val="auto"/>
          <w:sz w:val="28"/>
          <w:szCs w:val="28"/>
        </w:rPr>
      </w:r>
      <w:r>
        <w:rPr>
          <w:rFonts w:ascii="Times New Roman" w:hAnsi="Times New Roman" w:cs="Times New Roman"/>
          <w:b/>
          <w:color w:val="auto"/>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В соответствии с требованиями пункта 3 статьи 157 Бюджетного кодекса Российской Федерации Управлением ежегодно проводится анализ исполнения бюджетных полномочий органов государственного (муниципального) финансового контроля, являющихся исполните</w:t>
      </w:r>
      <w:r>
        <w:rPr>
          <w:rFonts w:ascii="Times New Roman" w:hAnsi="Times New Roman" w:cs="Times New Roman" w:eastAsiaTheme="majorEastAsia"/>
          <w:sz w:val="28"/>
          <w:szCs w:val="28"/>
        </w:rPr>
        <w:t xml:space="preserve">льными органами субъекта Российской Федерации (органами местных администраций), в соответствии с порядком, установленным Министерством финансов Российской Федерации (далее – анализ или аналитическое мероприятие, орган контроля), задачами которого являются:</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 </w:t>
      </w:r>
      <w:r>
        <w:rPr>
          <w:rFonts w:ascii="Times New Roman" w:hAnsi="Times New Roman" w:cs="Times New Roman" w:eastAsiaTheme="majorEastAsia"/>
          <w:sz w:val="28"/>
          <w:szCs w:val="28"/>
        </w:rPr>
        <w:t xml:space="preserve">выявление и обобщение практик осуществления внутреннего государственного (муниципального) финансового контроля, направленных на повышение эффективности осуществления внутреннего государственного </w:t>
      </w:r>
      <w:r>
        <w:rPr>
          <w:rFonts w:ascii="Times New Roman" w:hAnsi="Times New Roman" w:cs="Times New Roman" w:eastAsiaTheme="majorEastAsia"/>
          <w:sz w:val="28"/>
          <w:szCs w:val="28"/>
        </w:rPr>
        <w:t xml:space="preserve">(муниципального) финансового контроля, а также организации указанной деятельности в органах контроля;</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 </w:t>
      </w:r>
      <w:r>
        <w:rPr>
          <w:rFonts w:ascii="Times New Roman" w:hAnsi="Times New Roman" w:cs="Times New Roman" w:eastAsiaTheme="majorEastAsia"/>
          <w:sz w:val="28"/>
          <w:szCs w:val="28"/>
        </w:rPr>
        <w:t xml:space="preserve">выявление </w:t>
      </w:r>
      <w:r>
        <w:rPr>
          <w:rFonts w:ascii="Times New Roman" w:hAnsi="Times New Roman" w:cs="Times New Roman" w:eastAsiaTheme="majorEastAsia"/>
          <w:sz w:val="28"/>
          <w:szCs w:val="28"/>
        </w:rPr>
        <w:t xml:space="preserve">типовых недостатков, системных проблем при осуществлении органами контроля бюджетных полномочий, в том числе требующих изменения законодательства Российской Федерации в части осуществления внутреннего государственного (муниципального) финансового контроля;</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 </w:t>
      </w:r>
      <w:r>
        <w:rPr>
          <w:rFonts w:ascii="Times New Roman" w:hAnsi="Times New Roman" w:cs="Times New Roman" w:eastAsiaTheme="majorEastAsia"/>
          <w:sz w:val="28"/>
          <w:szCs w:val="28"/>
        </w:rPr>
        <w:t xml:space="preserve">установление причин и условий, способствовавших выявленным нарушениям и недостаткам по исполнению органами контроля бюджетных полномочий.</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Планирование аналитических мероприятий, обмен документами между органами контроля и Управл</w:t>
      </w:r>
      <w:r>
        <w:rPr>
          <w:rFonts w:ascii="Times New Roman" w:hAnsi="Times New Roman" w:cs="Times New Roman" w:eastAsiaTheme="majorEastAsia"/>
          <w:sz w:val="28"/>
          <w:szCs w:val="28"/>
        </w:rPr>
        <w:t xml:space="preserve">ением, оформление результатов и их согласование, доведение итогов анализа до органов контроля, формирование отчетности и доведение отчетности до Федерального казначейства осуществлялось посредством Подсистемы финансового контроля ГИИС «Электронный бюджет».</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В процессе планирования аналитических мероприятий на 2025 год проведен мониторинг органов контроля на территории Челябинской области, установлено следующее:</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 </w:t>
      </w:r>
      <w:r>
        <w:rPr>
          <w:rFonts w:ascii="Times New Roman" w:hAnsi="Times New Roman" w:cs="Times New Roman" w:eastAsiaTheme="majorEastAsia"/>
          <w:sz w:val="28"/>
          <w:szCs w:val="28"/>
        </w:rPr>
        <w:t xml:space="preserve">создан один орган государственного финансового контроля;</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 </w:t>
      </w:r>
      <w:r>
        <w:rPr>
          <w:rFonts w:ascii="Times New Roman" w:hAnsi="Times New Roman" w:cs="Times New Roman" w:eastAsiaTheme="majorEastAsia"/>
          <w:sz w:val="28"/>
          <w:szCs w:val="28"/>
        </w:rPr>
        <w:t xml:space="preserve">создано 70 органов муниципального финансового контроля, 24 из</w:t>
      </w:r>
      <w:r>
        <w:rPr>
          <w:rFonts w:ascii="Times New Roman" w:hAnsi="Times New Roman" w:cs="Times New Roman" w:eastAsiaTheme="majorEastAsia"/>
          <w:sz w:val="28"/>
          <w:szCs w:val="28"/>
        </w:rPr>
        <w:t xml:space="preserve"> которых приняли полномочия по осуществлению внутреннего муниципального финансового контроля от 239 муниципальных образований, что обеспечило 100% организацию исполнения бюджетных полномочий по осуществлению внутреннего муниципального финансового контроля.</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Управлением в 2025 году был проведен анализ исполнения бюджетных полномочий в отношении 12 органов контроля, выявлено и отражено в заключениях по результатам анализа 112 недостатков по организации и осуществлению органами контроля бюджетных полномочий.</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В результате анализа Управлением установлены следующие недостатки:</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 </w:t>
      </w:r>
      <w:r>
        <w:rPr>
          <w:rFonts w:ascii="Times New Roman" w:hAnsi="Times New Roman" w:cs="Times New Roman" w:eastAsiaTheme="majorEastAsia"/>
          <w:sz w:val="28"/>
          <w:szCs w:val="28"/>
        </w:rPr>
        <w:t xml:space="preserve">34 (30,3%) случая несоблюдения положений федерального стандарта ВГ(М)ФК «Проведение проверок, ревизий и обследований и оформление их результатов»;</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 </w:t>
      </w:r>
      <w:r>
        <w:rPr>
          <w:rFonts w:ascii="Times New Roman" w:hAnsi="Times New Roman" w:cs="Times New Roman" w:eastAsiaTheme="majorEastAsia"/>
          <w:sz w:val="28"/>
          <w:szCs w:val="28"/>
        </w:rPr>
        <w:t xml:space="preserve">20 (17,8%) случаев несоблюдения форм документов, оформляемых органами контроля, требованиям, установленным приказом Минфина России от 30декабря 2020 г. № 340н;</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 </w:t>
      </w:r>
      <w:r>
        <w:rPr>
          <w:rFonts w:ascii="Times New Roman" w:hAnsi="Times New Roman" w:cs="Times New Roman" w:eastAsiaTheme="majorEastAsia"/>
          <w:sz w:val="28"/>
          <w:szCs w:val="28"/>
        </w:rPr>
        <w:t xml:space="preserve">16 (14,3%) случаев несоблюдения положений Бюджетного кодекса Российской Федерации;</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 </w:t>
      </w:r>
      <w:r>
        <w:rPr>
          <w:rFonts w:ascii="Times New Roman" w:hAnsi="Times New Roman" w:cs="Times New Roman" w:eastAsiaTheme="majorEastAsia"/>
          <w:sz w:val="28"/>
          <w:szCs w:val="28"/>
        </w:rPr>
        <w:t xml:space="preserve">14 (12,5%) случаев несоблюдения положений федерального стандарта ВГ(М)ФК «Правила составления отчетности о результатах контрольной деятельности»;</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 </w:t>
      </w:r>
      <w:r>
        <w:rPr>
          <w:rFonts w:ascii="Times New Roman" w:hAnsi="Times New Roman" w:cs="Times New Roman" w:eastAsiaTheme="majorEastAsia"/>
          <w:sz w:val="28"/>
          <w:szCs w:val="28"/>
        </w:rPr>
        <w:t xml:space="preserve">9 (8,0%) случаев несоблюдения положений федерального стандарта ВГ(М)ФК «Планирование проверок, ревизий и обследований»;</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 </w:t>
      </w:r>
      <w:r>
        <w:rPr>
          <w:rFonts w:ascii="Times New Roman" w:hAnsi="Times New Roman" w:cs="Times New Roman" w:eastAsiaTheme="majorEastAsia"/>
          <w:sz w:val="28"/>
          <w:szCs w:val="28"/>
        </w:rPr>
        <w:t xml:space="preserve">6 (5,4%) случаев несоблюдения положений федерального стандарта ВГ(М)ФК «Реализация результатов проверок, ревизий и обследований»;</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 </w:t>
      </w:r>
      <w:r>
        <w:rPr>
          <w:rFonts w:ascii="Times New Roman" w:hAnsi="Times New Roman" w:cs="Times New Roman" w:eastAsiaTheme="majorEastAsia"/>
          <w:sz w:val="28"/>
          <w:szCs w:val="28"/>
        </w:rPr>
        <w:t xml:space="preserve">5 (4,5%) случаев несоблюдения положений Правил ведения реестра жалоб, плановых и внеплановых проверок, принятых по ним решений и выданных предписаний, представлений, пред</w:t>
      </w:r>
      <w:r>
        <w:rPr>
          <w:rFonts w:ascii="Times New Roman" w:hAnsi="Times New Roman" w:cs="Times New Roman" w:eastAsiaTheme="majorEastAsia"/>
          <w:sz w:val="28"/>
          <w:szCs w:val="28"/>
        </w:rPr>
        <w:t xml:space="preserve">усмотренных Федеральным </w:t>
      </w:r>
      <w:r>
        <w:rPr>
          <w:rFonts w:ascii="Times New Roman" w:hAnsi="Times New Roman" w:cs="Times New Roman" w:eastAsiaTheme="majorEastAsia"/>
          <w:sz w:val="28"/>
          <w:szCs w:val="28"/>
        </w:rPr>
        <w:t xml:space="preserve">законом</w:t>
      </w:r>
      <w:r>
        <w:rPr>
          <w:rFonts w:ascii="Times New Roman" w:hAnsi="Times New Roman" w:cs="Times New Roman" w:eastAsiaTheme="majorEastAsia"/>
          <w:sz w:val="28"/>
          <w:szCs w:val="28"/>
        </w:rPr>
        <w:br/>
      </w:r>
      <w:r>
        <w:rPr>
          <w:rFonts w:ascii="Times New Roman" w:hAnsi="Times New Roman" w:cs="Times New Roman" w:eastAsiaTheme="majorEastAsia"/>
          <w:sz w:val="28"/>
          <w:szCs w:val="28"/>
        </w:rPr>
        <w:t xml:space="preserve">«</w:t>
      </w:r>
      <w:r>
        <w:rPr>
          <w:rFonts w:ascii="Times New Roman" w:hAnsi="Times New Roman" w:cs="Times New Roman" w:eastAsiaTheme="majorEastAsia"/>
          <w:sz w:val="28"/>
          <w:szCs w:val="28"/>
        </w:rPr>
        <w:t xml:space="preserve">О контрактной системе в сфере закупок товаров, работ, услуг для обеспечения государственных и муниципальных нужд», утвержденных постановлением Правительства Российской Федерации от 27 января 2022 г. № 60;</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 </w:t>
      </w:r>
      <w:r>
        <w:rPr>
          <w:rFonts w:ascii="Times New Roman" w:hAnsi="Times New Roman" w:cs="Times New Roman" w:eastAsiaTheme="majorEastAsia"/>
          <w:sz w:val="28"/>
          <w:szCs w:val="28"/>
        </w:rPr>
        <w:t xml:space="preserve">3 (2,7%) случая несоблюдения положений федерального стандарта ВГ(М)ФК «Права и обязанности должностных лиц орга</w:t>
      </w:r>
      <w:r>
        <w:rPr>
          <w:rFonts w:ascii="Times New Roman" w:hAnsi="Times New Roman" w:cs="Times New Roman" w:eastAsiaTheme="majorEastAsia"/>
          <w:sz w:val="28"/>
          <w:szCs w:val="28"/>
        </w:rPr>
        <w:t xml:space="preserve">нов внутреннего государственного (муниципального) финансового контроля и объектов внутреннего государственного (муниципального) финансового контроля (их должностных лиц) при осуществлении внутреннего государственного (муниципального) финансового контроля»;</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 </w:t>
      </w:r>
      <w:r>
        <w:rPr>
          <w:rFonts w:ascii="Times New Roman" w:hAnsi="Times New Roman" w:cs="Times New Roman" w:eastAsiaTheme="majorEastAsia"/>
          <w:sz w:val="28"/>
          <w:szCs w:val="28"/>
        </w:rPr>
        <w:t xml:space="preserve">2 (1,8%) случая несоблюдения положений ведомственных стандартов;</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 </w:t>
      </w:r>
      <w:r>
        <w:rPr>
          <w:rFonts w:ascii="Times New Roman" w:hAnsi="Times New Roman" w:cs="Times New Roman" w:eastAsiaTheme="majorEastAsia"/>
          <w:sz w:val="28"/>
          <w:szCs w:val="28"/>
        </w:rPr>
        <w:t xml:space="preserve">2 (1,8%) случая несоблюдени</w:t>
      </w:r>
      <w:r>
        <w:rPr>
          <w:rFonts w:ascii="Times New Roman" w:hAnsi="Times New Roman" w:cs="Times New Roman" w:eastAsiaTheme="majorEastAsia"/>
          <w:sz w:val="28"/>
          <w:szCs w:val="28"/>
        </w:rPr>
        <w:t xml:space="preserve">я положений Федерального закона</w:t>
      </w:r>
      <w:r>
        <w:rPr>
          <w:rFonts w:ascii="Times New Roman" w:hAnsi="Times New Roman" w:cs="Times New Roman" w:eastAsiaTheme="majorEastAsia"/>
          <w:sz w:val="28"/>
          <w:szCs w:val="28"/>
        </w:rPr>
        <w:br/>
      </w:r>
      <w:r>
        <w:rPr>
          <w:rFonts w:ascii="Times New Roman" w:hAnsi="Times New Roman" w:cs="Times New Roman" w:eastAsiaTheme="majorEastAsia"/>
          <w:sz w:val="28"/>
          <w:szCs w:val="28"/>
        </w:rPr>
        <w:t xml:space="preserve">от 09 февраля 2009 г. № 8-ФЗ «Об обеспечении доступа к информации о деятельности государственных органов и органов местного самоуправления»;</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 </w:t>
      </w:r>
      <w:r>
        <w:rPr>
          <w:rFonts w:ascii="Times New Roman" w:hAnsi="Times New Roman" w:cs="Times New Roman" w:eastAsiaTheme="majorEastAsia"/>
          <w:sz w:val="28"/>
          <w:szCs w:val="28"/>
        </w:rPr>
        <w:t xml:space="preserve">1 (0,9%) случай несоблюдения положений Методических рекомендаций по составлению и представлению отчетности о результатах контрольной деятельности органов внутреннего государственного (муниципального) финансового контроля, утвер</w:t>
      </w:r>
      <w:r>
        <w:rPr>
          <w:rFonts w:ascii="Times New Roman" w:hAnsi="Times New Roman" w:cs="Times New Roman" w:eastAsiaTheme="majorEastAsia"/>
          <w:sz w:val="28"/>
          <w:szCs w:val="28"/>
        </w:rPr>
        <w:t xml:space="preserve">жденных приказом Минфина России</w:t>
      </w:r>
      <w:r>
        <w:rPr>
          <w:rFonts w:ascii="Times New Roman" w:hAnsi="Times New Roman" w:cs="Times New Roman" w:eastAsiaTheme="majorEastAsia"/>
          <w:sz w:val="28"/>
          <w:szCs w:val="28"/>
        </w:rPr>
        <w:br/>
      </w:r>
      <w:r>
        <w:rPr>
          <w:rFonts w:ascii="Times New Roman" w:hAnsi="Times New Roman" w:cs="Times New Roman" w:eastAsiaTheme="majorEastAsia"/>
          <w:sz w:val="28"/>
          <w:szCs w:val="28"/>
        </w:rPr>
        <w:t xml:space="preserve">от 1 декабря 2021 г. № 540.</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В адрес каждого органа контроля подготовлены и направлены заключения по результатам анализа исполнения бюджетных полномочий.</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b/>
          <w:sz w:val="28"/>
          <w:szCs w:val="28"/>
        </w:rPr>
      </w:pPr>
      <w:r>
        <w:rPr>
          <w:rFonts w:ascii="Times New Roman" w:hAnsi="Times New Roman" w:cs="Times New Roman" w:eastAsiaTheme="majorEastAsia"/>
          <w:b/>
          <w:sz w:val="28"/>
          <w:szCs w:val="28"/>
        </w:rPr>
      </w:r>
      <w:r>
        <w:rPr>
          <w:rFonts w:ascii="Times New Roman" w:hAnsi="Times New Roman" w:cs="Times New Roman" w:eastAsiaTheme="majorEastAsia"/>
          <w:b/>
          <w:sz w:val="28"/>
          <w:szCs w:val="28"/>
        </w:rPr>
      </w:r>
      <w:r>
        <w:rPr>
          <w:rFonts w:ascii="Times New Roman" w:hAnsi="Times New Roman" w:cs="Times New Roman" w:eastAsiaTheme="majorEastAsia"/>
          <w:b/>
          <w:sz w:val="28"/>
          <w:szCs w:val="28"/>
        </w:rPr>
      </w:r>
    </w:p>
    <w:p>
      <w:pPr>
        <w:pStyle w:val="871"/>
        <w:jc w:val="both"/>
        <w:rPr>
          <w:rFonts w:ascii="Times New Roman" w:hAnsi="Times New Roman" w:cs="Times New Roman"/>
          <w:b/>
          <w:color w:val="auto"/>
          <w:sz w:val="28"/>
          <w:szCs w:val="28"/>
        </w:rPr>
      </w:pPr>
      <w:r/>
      <w:bookmarkStart w:id="17" w:name="_Toc17"/>
      <w:r>
        <w:rPr>
          <w:rFonts w:ascii="Times New Roman" w:hAnsi="Times New Roman" w:cs="Times New Roman"/>
          <w:b/>
          <w:color w:val="auto"/>
          <w:sz w:val="28"/>
          <w:szCs w:val="28"/>
        </w:rPr>
        <w:t xml:space="preserve">4.3. Исполнение бюджетных полномочий органа внутреннего государственного финансового контроля по анализу осуществления главными администраторами бюджетных средств внутреннего финансового аудита</w:t>
      </w:r>
      <w:r>
        <w:rPr>
          <w:rFonts w:ascii="Times New Roman" w:hAnsi="Times New Roman" w:cs="Times New Roman"/>
          <w:b/>
          <w:color w:val="auto"/>
          <w:sz w:val="28"/>
          <w:szCs w:val="28"/>
        </w:rPr>
      </w:r>
      <w:bookmarkEnd w:id="17"/>
      <w:r>
        <w:rPr>
          <w:rFonts w:ascii="Times New Roman" w:hAnsi="Times New Roman" w:cs="Times New Roman"/>
          <w:b/>
          <w:color w:val="auto"/>
          <w:sz w:val="28"/>
          <w:szCs w:val="28"/>
        </w:rPr>
      </w:r>
      <w:r>
        <w:rPr>
          <w:rFonts w:ascii="Times New Roman" w:hAnsi="Times New Roman" w:cs="Times New Roman"/>
          <w:b/>
          <w:color w:val="auto"/>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В соответствии с требованиями пункта 4 статьи 157 Бюджетного кодекса Российской Федерации Управлением ежегодно прово</w:t>
      </w:r>
      <w:r>
        <w:rPr>
          <w:rFonts w:ascii="Times New Roman" w:hAnsi="Times New Roman" w:cs="Times New Roman" w:eastAsiaTheme="majorEastAsia"/>
          <w:sz w:val="28"/>
          <w:szCs w:val="28"/>
        </w:rPr>
        <w:t xml:space="preserve">дится анализ осуществления ГАБС</w:t>
      </w:r>
      <w:r>
        <w:rPr>
          <w:rStyle w:val="890"/>
          <w:rFonts w:ascii="Times New Roman" w:hAnsi="Times New Roman" w:cs="Times New Roman" w:eastAsiaTheme="majorEastAsia"/>
          <w:sz w:val="28"/>
          <w:szCs w:val="28"/>
        </w:rPr>
        <w:footnoteReference w:id="2"/>
      </w:r>
      <w:r>
        <w:rPr>
          <w:rFonts w:ascii="Times New Roman" w:hAnsi="Times New Roman" w:cs="Times New Roman" w:eastAsiaTheme="majorEastAsia"/>
          <w:sz w:val="28"/>
          <w:szCs w:val="28"/>
        </w:rPr>
        <w:t xml:space="preserve"> внутреннего финансового аудита</w:t>
      </w:r>
      <w:r>
        <w:rPr>
          <w:rFonts w:ascii="Times New Roman" w:hAnsi="Times New Roman" w:cs="Times New Roman" w:eastAsiaTheme="majorEastAsia"/>
          <w:sz w:val="28"/>
          <w:szCs w:val="28"/>
        </w:rPr>
        <w:t xml:space="preserve"> (далее – соответственно Анализ, ВФА)</w:t>
      </w:r>
      <w:r>
        <w:rPr>
          <w:rFonts w:ascii="Times New Roman" w:hAnsi="Times New Roman" w:cs="Times New Roman" w:eastAsiaTheme="majorEastAsia"/>
          <w:sz w:val="28"/>
          <w:szCs w:val="28"/>
        </w:rPr>
        <w:t xml:space="preserve">, задачами которого являются:</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 </w:t>
      </w:r>
      <w:r>
        <w:rPr>
          <w:rFonts w:ascii="Times New Roman" w:hAnsi="Times New Roman" w:cs="Times New Roman" w:eastAsiaTheme="majorEastAsia"/>
          <w:sz w:val="28"/>
          <w:szCs w:val="28"/>
        </w:rPr>
        <w:t xml:space="preserve">выявление лучших практик организации и осуществления </w:t>
      </w:r>
      <w:r>
        <w:rPr>
          <w:rFonts w:ascii="Times New Roman" w:hAnsi="Times New Roman" w:cs="Times New Roman" w:eastAsiaTheme="majorEastAsia"/>
          <w:sz w:val="28"/>
          <w:szCs w:val="28"/>
        </w:rPr>
        <w:t xml:space="preserve">ВФА</w:t>
      </w:r>
      <w:r>
        <w:rPr>
          <w:rFonts w:ascii="Times New Roman" w:hAnsi="Times New Roman" w:cs="Times New Roman" w:eastAsiaTheme="majorEastAsia"/>
          <w:sz w:val="28"/>
          <w:szCs w:val="28"/>
        </w:rPr>
        <w:t xml:space="preserve">;</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 </w:t>
      </w:r>
      <w:r>
        <w:rPr>
          <w:rFonts w:ascii="Times New Roman" w:hAnsi="Times New Roman" w:cs="Times New Roman" w:eastAsiaTheme="majorEastAsia"/>
          <w:sz w:val="28"/>
          <w:szCs w:val="28"/>
        </w:rPr>
        <w:t xml:space="preserve">выявление типовых недостатков и (или) нарушений при организации и осуществлении </w:t>
      </w:r>
      <w:r>
        <w:rPr>
          <w:rFonts w:ascii="Times New Roman" w:hAnsi="Times New Roman" w:cs="Times New Roman" w:eastAsiaTheme="majorEastAsia"/>
          <w:sz w:val="28"/>
          <w:szCs w:val="28"/>
        </w:rPr>
        <w:t xml:space="preserve">ВФА</w:t>
      </w:r>
      <w:r>
        <w:rPr>
          <w:rFonts w:ascii="Times New Roman" w:hAnsi="Times New Roman" w:cs="Times New Roman" w:eastAsiaTheme="majorEastAsia"/>
          <w:sz w:val="28"/>
          <w:szCs w:val="28"/>
        </w:rPr>
        <w:t xml:space="preserve">, в том числе их причин и условий;</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 </w:t>
      </w:r>
      <w:r>
        <w:rPr>
          <w:rFonts w:ascii="Times New Roman" w:hAnsi="Times New Roman" w:cs="Times New Roman" w:eastAsiaTheme="majorEastAsia"/>
          <w:sz w:val="28"/>
          <w:szCs w:val="28"/>
        </w:rPr>
        <w:t xml:space="preserve">анализ результатов проведения ГАБС </w:t>
      </w:r>
      <w:r>
        <w:rPr>
          <w:rFonts w:ascii="Times New Roman" w:hAnsi="Times New Roman" w:cs="Times New Roman" w:eastAsiaTheme="majorEastAsia"/>
          <w:sz w:val="28"/>
          <w:szCs w:val="28"/>
        </w:rPr>
        <w:t xml:space="preserve">ВФА</w:t>
      </w:r>
      <w:r>
        <w:rPr>
          <w:rFonts w:ascii="Times New Roman" w:hAnsi="Times New Roman" w:cs="Times New Roman" w:eastAsiaTheme="majorEastAsia"/>
          <w:sz w:val="28"/>
          <w:szCs w:val="28"/>
        </w:rPr>
        <w:t xml:space="preserve">;</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 </w:t>
      </w:r>
      <w:r>
        <w:rPr>
          <w:rFonts w:ascii="Times New Roman" w:hAnsi="Times New Roman" w:cs="Times New Roman" w:eastAsiaTheme="majorEastAsia"/>
          <w:sz w:val="28"/>
          <w:szCs w:val="28"/>
        </w:rPr>
        <w:t xml:space="preserve">оценка осуществления </w:t>
      </w:r>
      <w:r>
        <w:rPr>
          <w:rFonts w:ascii="Times New Roman" w:hAnsi="Times New Roman" w:cs="Times New Roman" w:eastAsiaTheme="majorEastAsia"/>
          <w:sz w:val="28"/>
          <w:szCs w:val="28"/>
        </w:rPr>
        <w:t xml:space="preserve">ВФА</w:t>
      </w:r>
      <w:r>
        <w:rPr>
          <w:rFonts w:ascii="Times New Roman" w:hAnsi="Times New Roman" w:cs="Times New Roman" w:eastAsiaTheme="majorEastAsia"/>
          <w:sz w:val="28"/>
          <w:szCs w:val="28"/>
        </w:rPr>
        <w:t xml:space="preserve"> по итогам Анализа.</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Обмен информацией и документами, подтверждающими организацию и осуществление </w:t>
      </w:r>
      <w:r>
        <w:rPr>
          <w:rFonts w:ascii="Times New Roman" w:hAnsi="Times New Roman" w:cs="Times New Roman" w:eastAsiaTheme="majorEastAsia"/>
          <w:sz w:val="28"/>
          <w:szCs w:val="28"/>
        </w:rPr>
        <w:t xml:space="preserve">ВФА</w:t>
      </w:r>
      <w:r>
        <w:rPr>
          <w:rFonts w:ascii="Times New Roman" w:hAnsi="Times New Roman" w:cs="Times New Roman" w:eastAsiaTheme="majorEastAsia"/>
          <w:sz w:val="28"/>
          <w:szCs w:val="28"/>
        </w:rPr>
        <w:t xml:space="preserve">, оформление и реализацию результатов </w:t>
      </w:r>
      <w:r>
        <w:rPr>
          <w:rFonts w:ascii="Times New Roman" w:hAnsi="Times New Roman" w:cs="Times New Roman" w:eastAsiaTheme="majorEastAsia"/>
          <w:sz w:val="28"/>
          <w:szCs w:val="28"/>
        </w:rPr>
        <w:t xml:space="preserve">ВФА</w:t>
      </w:r>
      <w:r>
        <w:rPr>
          <w:rFonts w:ascii="Times New Roman" w:hAnsi="Times New Roman" w:cs="Times New Roman" w:eastAsiaTheme="majorEastAsia"/>
          <w:sz w:val="28"/>
          <w:szCs w:val="28"/>
        </w:rPr>
        <w:t xml:space="preserve">, между ГАБС и Управлением, оценка осуществления </w:t>
      </w:r>
      <w:r>
        <w:rPr>
          <w:rFonts w:ascii="Times New Roman" w:hAnsi="Times New Roman" w:cs="Times New Roman" w:eastAsiaTheme="majorEastAsia"/>
          <w:sz w:val="28"/>
          <w:szCs w:val="28"/>
        </w:rPr>
        <w:t xml:space="preserve">ВФА</w:t>
      </w:r>
      <w:r>
        <w:rPr>
          <w:rFonts w:ascii="Times New Roman" w:hAnsi="Times New Roman" w:cs="Times New Roman" w:eastAsiaTheme="majorEastAsia"/>
          <w:sz w:val="28"/>
          <w:szCs w:val="28"/>
        </w:rPr>
        <w:t xml:space="preserve"> по итогам Анализа и доведение его итогов до Федерального казначейства осуществлялось посредством Подсистемы финансового контроля ГИИС «Электронный бюджет».</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В 2025 году в рамках решаемых задач Управлению подлежало изучить Анкеты и дать оценку деятельности 688 ГАБС по организации и осуществлению ими </w:t>
      </w:r>
      <w:r>
        <w:rPr>
          <w:rFonts w:ascii="Times New Roman" w:hAnsi="Times New Roman" w:cs="Times New Roman" w:eastAsiaTheme="majorEastAsia"/>
          <w:sz w:val="28"/>
          <w:szCs w:val="28"/>
        </w:rPr>
        <w:t xml:space="preserve">ВФА</w:t>
      </w:r>
      <w:r>
        <w:rPr>
          <w:rFonts w:ascii="Times New Roman" w:hAnsi="Times New Roman" w:cs="Times New Roman" w:eastAsiaTheme="majorEastAsia"/>
          <w:sz w:val="28"/>
          <w:szCs w:val="28"/>
        </w:rPr>
        <w:t xml:space="preserve">, оформлению и реализации результатов </w:t>
      </w:r>
      <w:r>
        <w:rPr>
          <w:rFonts w:ascii="Times New Roman" w:hAnsi="Times New Roman" w:cs="Times New Roman" w:eastAsiaTheme="majorEastAsia"/>
          <w:sz w:val="28"/>
          <w:szCs w:val="28"/>
        </w:rPr>
        <w:t xml:space="preserve">ВФА</w:t>
      </w:r>
      <w:r>
        <w:rPr>
          <w:rFonts w:ascii="Times New Roman" w:hAnsi="Times New Roman" w:cs="Times New Roman" w:eastAsiaTheme="majorEastAsia"/>
          <w:sz w:val="28"/>
          <w:szCs w:val="28"/>
        </w:rPr>
        <w:t xml:space="preserve"> по 24 вопросам (далее – оценка деятельности).</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Более чем 46% Анкет Управлением были возвращены на доработку</w:t>
      </w:r>
      <w:r>
        <w:rPr>
          <w:rFonts w:ascii="Times New Roman" w:hAnsi="Times New Roman" w:cs="Times New Roman" w:eastAsiaTheme="majorEastAsia"/>
          <w:sz w:val="28"/>
          <w:szCs w:val="28"/>
        </w:rPr>
        <w:t xml:space="preserve"> </w:t>
      </w:r>
      <w:r>
        <w:rPr>
          <w:rFonts w:ascii="Times New Roman" w:hAnsi="Times New Roman" w:cs="Times New Roman" w:eastAsiaTheme="majorEastAsia"/>
          <w:sz w:val="28"/>
          <w:szCs w:val="28"/>
        </w:rPr>
        <w:t xml:space="preserve">из-за их некачественного и неполного оформления.</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В ходе </w:t>
      </w:r>
      <w:r>
        <w:rPr>
          <w:rFonts w:ascii="Times New Roman" w:hAnsi="Times New Roman" w:cs="Times New Roman" w:eastAsiaTheme="majorEastAsia"/>
          <w:sz w:val="28"/>
          <w:szCs w:val="28"/>
        </w:rPr>
        <w:t xml:space="preserve">Анализа</w:t>
      </w:r>
      <w:r>
        <w:rPr>
          <w:rFonts w:ascii="Times New Roman" w:hAnsi="Times New Roman" w:cs="Times New Roman" w:eastAsiaTheme="majorEastAsia"/>
          <w:sz w:val="28"/>
          <w:szCs w:val="28"/>
        </w:rPr>
        <w:t xml:space="preserve">, установлено следующее:</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 </w:t>
      </w:r>
      <w:r>
        <w:rPr>
          <w:rFonts w:ascii="Times New Roman" w:hAnsi="Times New Roman" w:cs="Times New Roman" w:eastAsiaTheme="majorEastAsia"/>
          <w:sz w:val="28"/>
          <w:szCs w:val="28"/>
        </w:rPr>
        <w:t xml:space="preserve">60 (8,7%) ГАБС приняли соответству</w:t>
      </w:r>
      <w:r>
        <w:rPr>
          <w:rFonts w:ascii="Times New Roman" w:hAnsi="Times New Roman" w:cs="Times New Roman" w:eastAsiaTheme="majorEastAsia"/>
          <w:sz w:val="28"/>
          <w:szCs w:val="28"/>
        </w:rPr>
        <w:t xml:space="preserve">ющие федеральным стандартам ВФА</w:t>
      </w:r>
      <w:r>
        <w:rPr>
          <w:rStyle w:val="890"/>
          <w:rFonts w:ascii="Times New Roman" w:hAnsi="Times New Roman" w:cs="Times New Roman" w:eastAsiaTheme="majorEastAsia"/>
          <w:sz w:val="28"/>
          <w:szCs w:val="28"/>
        </w:rPr>
        <w:footnoteReference w:id="3"/>
      </w:r>
      <w:r>
        <w:rPr>
          <w:rFonts w:ascii="Times New Roman" w:hAnsi="Times New Roman" w:cs="Times New Roman" w:eastAsiaTheme="majorEastAsia"/>
          <w:sz w:val="28"/>
          <w:szCs w:val="28"/>
        </w:rPr>
        <w:t xml:space="preserve"> решения об образовании субъекта внутреннего финансового аудита, наделенного полномочиями по осуществлению </w:t>
      </w:r>
      <w:r>
        <w:rPr>
          <w:rFonts w:ascii="Times New Roman" w:hAnsi="Times New Roman" w:cs="Times New Roman" w:eastAsiaTheme="majorEastAsia"/>
          <w:sz w:val="28"/>
          <w:szCs w:val="28"/>
        </w:rPr>
        <w:t xml:space="preserve">ВФА</w:t>
      </w:r>
      <w:r>
        <w:rPr>
          <w:rFonts w:ascii="Times New Roman" w:hAnsi="Times New Roman" w:cs="Times New Roman" w:eastAsiaTheme="majorEastAsia"/>
          <w:sz w:val="28"/>
          <w:szCs w:val="28"/>
        </w:rPr>
        <w:t xml:space="preserve">. При максимально возможной оценке деятельности в 100 баллов, наивысшую оценку 90 баллов получил один главный администратор средств бюджета Челябинской области, оценку от 51 до 89 баллов получил 21 ГАБС, оценку от 12 до 50 баллов получили 38 ГАБС;</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w:t>
      </w:r>
      <w:r>
        <w:rPr>
          <w:rFonts w:ascii="Times New Roman" w:hAnsi="Times New Roman" w:cs="Times New Roman" w:eastAsiaTheme="majorEastAsia"/>
          <w:b/>
          <w:sz w:val="28"/>
          <w:szCs w:val="28"/>
        </w:rPr>
        <w:t xml:space="preserve"> </w:t>
      </w:r>
      <w:r>
        <w:rPr>
          <w:rFonts w:ascii="Times New Roman" w:hAnsi="Times New Roman" w:cs="Times New Roman" w:eastAsiaTheme="majorEastAsia"/>
          <w:sz w:val="28"/>
          <w:szCs w:val="28"/>
        </w:rPr>
        <w:t xml:space="preserve">430 (62,5%) ГАБС приняли соответствующие федеральным стандартам ВФА решения о самостоятельном выполнении руководителем ГАБС действий, направленных на достижение целей </w:t>
      </w:r>
      <w:r>
        <w:rPr>
          <w:rFonts w:ascii="Times New Roman" w:hAnsi="Times New Roman" w:cs="Times New Roman" w:eastAsiaTheme="majorEastAsia"/>
          <w:sz w:val="28"/>
          <w:szCs w:val="28"/>
        </w:rPr>
        <w:t xml:space="preserve">ВФА</w:t>
      </w:r>
      <w:r>
        <w:rPr>
          <w:rFonts w:ascii="Times New Roman" w:hAnsi="Times New Roman" w:cs="Times New Roman" w:eastAsiaTheme="majorEastAsia"/>
          <w:sz w:val="28"/>
          <w:szCs w:val="28"/>
        </w:rPr>
        <w:t xml:space="preserve"> (упрощенное осуществление </w:t>
      </w:r>
      <w:r>
        <w:rPr>
          <w:rFonts w:ascii="Times New Roman" w:hAnsi="Times New Roman" w:cs="Times New Roman" w:eastAsiaTheme="majorEastAsia"/>
          <w:sz w:val="28"/>
          <w:szCs w:val="28"/>
        </w:rPr>
        <w:t xml:space="preserve">ВФА</w:t>
      </w:r>
      <w:r>
        <w:rPr>
          <w:rFonts w:ascii="Times New Roman" w:hAnsi="Times New Roman" w:cs="Times New Roman" w:eastAsiaTheme="majorEastAsia"/>
          <w:sz w:val="28"/>
          <w:szCs w:val="28"/>
        </w:rPr>
        <w:t xml:space="preserve">);</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 </w:t>
      </w:r>
      <w:r>
        <w:rPr>
          <w:rFonts w:ascii="Times New Roman" w:hAnsi="Times New Roman" w:cs="Times New Roman" w:eastAsiaTheme="majorEastAsia"/>
          <w:sz w:val="28"/>
          <w:szCs w:val="28"/>
        </w:rPr>
        <w:t xml:space="preserve">45 (6,6%) ГАБС приняты решения об организации </w:t>
      </w:r>
      <w:r>
        <w:rPr>
          <w:rFonts w:ascii="Times New Roman" w:hAnsi="Times New Roman" w:cs="Times New Roman" w:eastAsiaTheme="majorEastAsia"/>
          <w:sz w:val="28"/>
          <w:szCs w:val="28"/>
        </w:rPr>
        <w:t xml:space="preserve">ВФА,</w:t>
      </w:r>
      <w:r>
        <w:rPr>
          <w:rFonts w:ascii="Times New Roman" w:hAnsi="Times New Roman" w:cs="Times New Roman" w:eastAsiaTheme="majorEastAsia"/>
          <w:sz w:val="28"/>
          <w:szCs w:val="28"/>
        </w:rPr>
        <w:t xml:space="preserve"> не соответствующие федеральным стандартам ВФА;</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 </w:t>
      </w:r>
      <w:r>
        <w:rPr>
          <w:rFonts w:ascii="Times New Roman" w:hAnsi="Times New Roman" w:cs="Times New Roman" w:eastAsiaTheme="majorEastAsia"/>
          <w:sz w:val="28"/>
          <w:szCs w:val="28"/>
        </w:rPr>
        <w:t xml:space="preserve">153 (22,2%) ГАБС решения об организации </w:t>
      </w:r>
      <w:r>
        <w:rPr>
          <w:rFonts w:ascii="Times New Roman" w:hAnsi="Times New Roman" w:cs="Times New Roman" w:eastAsiaTheme="majorEastAsia"/>
          <w:sz w:val="28"/>
          <w:szCs w:val="28"/>
        </w:rPr>
        <w:t xml:space="preserve">ВФА</w:t>
      </w:r>
      <w:r>
        <w:rPr>
          <w:rFonts w:ascii="Times New Roman" w:hAnsi="Times New Roman" w:cs="Times New Roman" w:eastAsiaTheme="majorEastAsia"/>
          <w:sz w:val="28"/>
          <w:szCs w:val="28"/>
        </w:rPr>
        <w:t xml:space="preserve"> не приняты.</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Управлением выявлены следующие типовые недостатки и (или) нарушения федеральных стандартов ВФА:</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w:t>
      </w:r>
      <w:r>
        <w:rPr>
          <w:rFonts w:ascii="Times New Roman" w:hAnsi="Times New Roman" w:cs="Times New Roman" w:eastAsiaTheme="majorEastAsia"/>
          <w:b/>
          <w:sz w:val="28"/>
          <w:szCs w:val="28"/>
        </w:rPr>
        <w:t xml:space="preserve"> </w:t>
      </w:r>
      <w:r>
        <w:rPr>
          <w:rFonts w:ascii="Times New Roman" w:hAnsi="Times New Roman" w:cs="Times New Roman" w:eastAsiaTheme="majorEastAsia"/>
          <w:sz w:val="28"/>
          <w:szCs w:val="28"/>
        </w:rPr>
        <w:t xml:space="preserve">решение об организации </w:t>
      </w:r>
      <w:r>
        <w:rPr>
          <w:rFonts w:ascii="Times New Roman" w:hAnsi="Times New Roman" w:cs="Times New Roman" w:eastAsiaTheme="majorEastAsia"/>
          <w:sz w:val="28"/>
          <w:szCs w:val="28"/>
        </w:rPr>
        <w:t xml:space="preserve">ВФА</w:t>
      </w:r>
      <w:r>
        <w:rPr>
          <w:rFonts w:ascii="Times New Roman" w:hAnsi="Times New Roman" w:cs="Times New Roman" w:eastAsiaTheme="majorEastAsia"/>
          <w:sz w:val="28"/>
          <w:szCs w:val="28"/>
        </w:rPr>
        <w:t xml:space="preserve"> руководителем ГАБС не принято, либо принято, но не соответствует установленным требованиям;</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w:t>
      </w:r>
      <w:r>
        <w:rPr>
          <w:rFonts w:ascii="Times New Roman" w:hAnsi="Times New Roman" w:cs="Times New Roman" w:eastAsiaTheme="majorEastAsia"/>
          <w:sz w:val="28"/>
          <w:szCs w:val="28"/>
        </w:rPr>
        <w:t xml:space="preserve"> </w:t>
      </w:r>
      <w:r>
        <w:rPr>
          <w:rFonts w:ascii="Times New Roman" w:hAnsi="Times New Roman" w:cs="Times New Roman" w:eastAsiaTheme="majorEastAsia"/>
          <w:sz w:val="28"/>
          <w:szCs w:val="28"/>
        </w:rPr>
        <w:t xml:space="preserve">не обеспечено подчинение субъекта </w:t>
      </w:r>
      <w:r>
        <w:rPr>
          <w:rFonts w:ascii="Times New Roman" w:hAnsi="Times New Roman" w:cs="Times New Roman" w:eastAsiaTheme="majorEastAsia"/>
          <w:sz w:val="28"/>
          <w:szCs w:val="28"/>
        </w:rPr>
        <w:t xml:space="preserve">ВФА</w:t>
      </w:r>
      <w:r>
        <w:rPr>
          <w:rFonts w:ascii="Times New Roman" w:hAnsi="Times New Roman" w:cs="Times New Roman" w:eastAsiaTheme="majorEastAsia"/>
          <w:sz w:val="28"/>
          <w:szCs w:val="28"/>
        </w:rPr>
        <w:t xml:space="preserve"> при осуществлении </w:t>
      </w:r>
      <w:r>
        <w:rPr>
          <w:rFonts w:ascii="Times New Roman" w:hAnsi="Times New Roman" w:cs="Times New Roman" w:eastAsiaTheme="majorEastAsia"/>
          <w:sz w:val="28"/>
          <w:szCs w:val="28"/>
        </w:rPr>
        <w:t xml:space="preserve">ВФА</w:t>
      </w:r>
      <w:r>
        <w:rPr>
          <w:rFonts w:ascii="Times New Roman" w:hAnsi="Times New Roman" w:cs="Times New Roman" w:eastAsiaTheme="majorEastAsia"/>
          <w:sz w:val="28"/>
          <w:szCs w:val="28"/>
        </w:rPr>
        <w:t xml:space="preserve"> исключительно и непосредственно руководителю ГАБС;</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 </w:t>
      </w:r>
      <w:r>
        <w:rPr>
          <w:rFonts w:ascii="Times New Roman" w:hAnsi="Times New Roman" w:cs="Times New Roman" w:eastAsiaTheme="majorEastAsia"/>
          <w:sz w:val="28"/>
          <w:szCs w:val="28"/>
        </w:rPr>
        <w:t xml:space="preserve">не соблюдаются требования по годовому планированию аудиторских мероприятий или оформлению плана их проведения;</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 </w:t>
      </w:r>
      <w:r>
        <w:rPr>
          <w:rFonts w:ascii="Times New Roman" w:hAnsi="Times New Roman" w:cs="Times New Roman" w:eastAsiaTheme="majorEastAsia"/>
          <w:sz w:val="28"/>
          <w:szCs w:val="28"/>
        </w:rPr>
        <w:t xml:space="preserve">не соблюдаются требования по формированию программы аудиторского мероприятия;</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 </w:t>
      </w:r>
      <w:r>
        <w:rPr>
          <w:rFonts w:ascii="Times New Roman" w:hAnsi="Times New Roman" w:cs="Times New Roman" w:eastAsiaTheme="majorEastAsia"/>
          <w:sz w:val="28"/>
          <w:szCs w:val="28"/>
        </w:rPr>
        <w:t xml:space="preserve">не соблюдаются требования по оформлению результатов аудиторских мероприятий;</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 </w:t>
      </w:r>
      <w:r>
        <w:rPr>
          <w:rFonts w:ascii="Times New Roman" w:hAnsi="Times New Roman" w:cs="Times New Roman" w:eastAsiaTheme="majorEastAsia"/>
          <w:sz w:val="28"/>
          <w:szCs w:val="28"/>
        </w:rPr>
        <w:t xml:space="preserve">не соблюдаются требования по принятию решений, направленных на повышение качества финансового менеджмента, с указанием сроков их выполнения;</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w:t>
      </w:r>
      <w:r>
        <w:rPr>
          <w:rFonts w:ascii="Times New Roman" w:hAnsi="Times New Roman" w:cs="Times New Roman" w:eastAsiaTheme="majorEastAsia"/>
          <w:sz w:val="28"/>
          <w:szCs w:val="28"/>
        </w:rPr>
        <w:t xml:space="preserve"> </w:t>
      </w:r>
      <w:r>
        <w:rPr>
          <w:rFonts w:ascii="Times New Roman" w:hAnsi="Times New Roman" w:cs="Times New Roman" w:eastAsiaTheme="majorEastAsia"/>
          <w:sz w:val="28"/>
          <w:szCs w:val="28"/>
        </w:rPr>
        <w:t xml:space="preserve">в документах используются термины, не установленные федеральными стандартами ВФА;</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 </w:t>
      </w:r>
      <w:r>
        <w:rPr>
          <w:rFonts w:ascii="Times New Roman" w:hAnsi="Times New Roman" w:cs="Times New Roman" w:eastAsiaTheme="majorEastAsia"/>
          <w:sz w:val="28"/>
          <w:szCs w:val="28"/>
        </w:rPr>
        <w:t xml:space="preserve">ведомственные (внутренние) акты, обеспечивающие осуществление </w:t>
      </w:r>
      <w:r>
        <w:rPr>
          <w:rFonts w:ascii="Times New Roman" w:hAnsi="Times New Roman" w:cs="Times New Roman" w:eastAsiaTheme="majorEastAsia"/>
          <w:sz w:val="28"/>
          <w:szCs w:val="28"/>
        </w:rPr>
        <w:t xml:space="preserve">ВФА</w:t>
      </w:r>
      <w:r>
        <w:rPr>
          <w:rFonts w:ascii="Times New Roman" w:hAnsi="Times New Roman" w:cs="Times New Roman" w:eastAsiaTheme="majorEastAsia"/>
          <w:sz w:val="28"/>
          <w:szCs w:val="28"/>
        </w:rPr>
        <w:t xml:space="preserve">, не соответствуют федеральным стандартам ВФА.</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eastAsiaTheme="majorEastAsia"/>
          <w:sz w:val="28"/>
          <w:szCs w:val="28"/>
        </w:rPr>
      </w:pPr>
      <w:r>
        <w:rPr>
          <w:rFonts w:ascii="Times New Roman" w:hAnsi="Times New Roman" w:cs="Times New Roman" w:eastAsiaTheme="majorEastAsia"/>
          <w:sz w:val="28"/>
          <w:szCs w:val="28"/>
        </w:rPr>
        <w:t xml:space="preserve">Анализ осуществления ГАБС </w:t>
      </w:r>
      <w:r>
        <w:rPr>
          <w:rFonts w:ascii="Times New Roman" w:hAnsi="Times New Roman" w:cs="Times New Roman" w:eastAsiaTheme="majorEastAsia"/>
          <w:sz w:val="28"/>
          <w:szCs w:val="28"/>
        </w:rPr>
        <w:t xml:space="preserve">ВФА</w:t>
      </w:r>
      <w:r>
        <w:rPr>
          <w:rFonts w:ascii="Times New Roman" w:hAnsi="Times New Roman" w:cs="Times New Roman" w:eastAsiaTheme="majorEastAsia"/>
          <w:sz w:val="28"/>
          <w:szCs w:val="28"/>
        </w:rPr>
        <w:t xml:space="preserve"> проведен с соблюдением срока, установленного Федеральным казначейством, результаты приняты Федеральным казначейством</w:t>
      </w:r>
      <w:r>
        <w:rPr>
          <w:rFonts w:ascii="Times New Roman" w:hAnsi="Times New Roman" w:cs="Times New Roman" w:eastAsiaTheme="majorEastAsia"/>
          <w:sz w:val="28"/>
          <w:szCs w:val="28"/>
        </w:rPr>
        <w:t xml:space="preserve">.</w:t>
      </w:r>
      <w:r>
        <w:rPr>
          <w:rFonts w:ascii="Times New Roman" w:hAnsi="Times New Roman" w:cs="Times New Roman" w:eastAsiaTheme="majorEastAsia"/>
          <w:sz w:val="28"/>
          <w:szCs w:val="28"/>
        </w:rPr>
      </w:r>
      <w:r>
        <w:rPr>
          <w:rFonts w:ascii="Times New Roman" w:hAnsi="Times New Roman" w:cs="Times New Roman" w:eastAsiaTheme="majorEastAsia"/>
          <w:sz w:val="28"/>
          <w:szCs w:val="28"/>
        </w:rPr>
      </w:r>
    </w:p>
    <w:p>
      <w:pPr>
        <w:contextualSpacing/>
        <w:ind w:firstLine="709"/>
        <w:jc w:val="both"/>
        <w:spacing w:after="0" w:line="240" w:lineRule="auto"/>
        <w:rPr>
          <w:rFonts w:ascii="Times New Roman" w:hAnsi="Times New Roman" w:cs="Times New Roman"/>
          <w:b/>
          <w:sz w:val="28"/>
          <w:szCs w:val="28"/>
        </w:rPr>
      </w:pPr>
      <w:r>
        <w:rPr>
          <w:rFonts w:ascii="Times New Roman" w:hAnsi="Times New Roman" w:cs="Times New Roman"/>
          <w:b/>
          <w:sz w:val="28"/>
          <w:szCs w:val="28"/>
        </w:rPr>
      </w:r>
      <w:r>
        <w:rPr>
          <w:rFonts w:ascii="Times New Roman" w:hAnsi="Times New Roman" w:cs="Times New Roman"/>
          <w:b/>
          <w:sz w:val="28"/>
          <w:szCs w:val="28"/>
        </w:rPr>
      </w:r>
      <w:r>
        <w:rPr>
          <w:rFonts w:ascii="Times New Roman" w:hAnsi="Times New Roman" w:cs="Times New Roman"/>
          <w:b/>
          <w:sz w:val="28"/>
          <w:szCs w:val="28"/>
        </w:rPr>
      </w:r>
    </w:p>
    <w:p>
      <w:pPr>
        <w:pStyle w:val="871"/>
        <w:contextualSpacing/>
        <w:jc w:val="both"/>
        <w:spacing w:before="0" w:line="240" w:lineRule="auto"/>
        <w:rPr>
          <w:rFonts w:ascii="Times New Roman" w:hAnsi="Times New Roman" w:cs="Times New Roman"/>
          <w:b/>
          <w:color w:val="auto"/>
          <w:sz w:val="28"/>
          <w:szCs w:val="28"/>
        </w:rPr>
      </w:pPr>
      <w:r/>
      <w:bookmarkStart w:id="18" w:name="_Toc18"/>
      <w:r>
        <w:rPr>
          <w:rFonts w:ascii="Times New Roman" w:hAnsi="Times New Roman" w:cs="Times New Roman"/>
          <w:b/>
          <w:color w:val="auto"/>
          <w:sz w:val="28"/>
          <w:szCs w:val="28"/>
        </w:rPr>
        <w:t xml:space="preserve">4.4. Исполнение бюджетных полномочий по организации и осуществлению внутреннего финансового аудита</w:t>
      </w:r>
      <w:r>
        <w:rPr>
          <w:rFonts w:ascii="Times New Roman" w:hAnsi="Times New Roman" w:cs="Times New Roman"/>
          <w:b/>
          <w:color w:val="auto"/>
          <w:sz w:val="28"/>
          <w:szCs w:val="28"/>
        </w:rPr>
      </w:r>
      <w:bookmarkEnd w:id="18"/>
      <w:r>
        <w:rPr>
          <w:rFonts w:ascii="Times New Roman" w:hAnsi="Times New Roman" w:cs="Times New Roman"/>
          <w:b/>
          <w:color w:val="auto"/>
          <w:sz w:val="28"/>
          <w:szCs w:val="28"/>
        </w:rPr>
      </w:r>
      <w:r>
        <w:rPr>
          <w:rFonts w:ascii="Times New Roman" w:hAnsi="Times New Roman" w:cs="Times New Roman"/>
          <w:b/>
          <w:color w:val="auto"/>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рамках реализации статьи 160.2-1 Бюджетного кодекса Российской Федерации Управлением в 2025 году организовано и проведено</w:t>
      </w:r>
      <w:r>
        <w:rPr>
          <w:rFonts w:ascii="Times New Roman" w:hAnsi="Times New Roman" w:cs="Times New Roman"/>
          <w:sz w:val="28"/>
          <w:szCs w:val="28"/>
        </w:rPr>
        <w:t xml:space="preserve"> </w:t>
      </w:r>
      <w:r>
        <w:rPr>
          <w:rFonts w:ascii="Times New Roman" w:hAnsi="Times New Roman" w:cs="Times New Roman"/>
          <w:sz w:val="28"/>
          <w:szCs w:val="28"/>
        </w:rPr>
        <w:t xml:space="preserve">28 аудиторских мероприятия, из них:</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- 13</w:t>
      </w:r>
      <w:r>
        <w:rPr>
          <w:rFonts w:ascii="Times New Roman" w:hAnsi="Times New Roman" w:cs="Times New Roman"/>
          <w:sz w:val="28"/>
          <w:szCs w:val="28"/>
        </w:rPr>
        <w:t xml:space="preserve"> по теме подтверждения соответствия порядка ведения бюджетного учета единой методологии учета и отчетности в течение 2025 год в отношении 13 субъектов централизованного учета;</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w:t>
      </w:r>
      <w:r>
        <w:rPr>
          <w:rFonts w:ascii="Times New Roman" w:hAnsi="Times New Roman" w:cs="Times New Roman"/>
          <w:sz w:val="28"/>
          <w:szCs w:val="28"/>
        </w:rPr>
        <w:t xml:space="preserve">по теме оценка надежности внутреннего финансового контроля в отношении бюджетных процедур администратора доходов бюджета - Управления (глава 100);</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w:t>
      </w:r>
      <w:r>
        <w:rPr>
          <w:rFonts w:ascii="Times New Roman" w:hAnsi="Times New Roman" w:cs="Times New Roman"/>
          <w:sz w:val="28"/>
          <w:szCs w:val="28"/>
        </w:rPr>
        <w:t xml:space="preserve">по теме подтверждения достоверности годовой бюджетной отчетности, соответствия порядка ведения бюджетного учета единой методологии учета и отчетности в 2025 году в отношении администратора доходов бюджета – Управления (глава 100); </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- 13 </w:t>
      </w:r>
      <w:r>
        <w:rPr>
          <w:rFonts w:ascii="Times New Roman" w:hAnsi="Times New Roman" w:cs="Times New Roman"/>
          <w:sz w:val="28"/>
          <w:szCs w:val="28"/>
        </w:rPr>
        <w:t xml:space="preserve">по теме подтверждение достоверности годовой бюджетной отчетности, соответствия порядка ведения бюджетного учета единой методологии учета и отчетности в 2025 году в отношении 13 субъектов централизованного учета.</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ходе аудиторских мероприятий были установлены нарушения</w:t>
      </w:r>
      <w:r>
        <w:rPr>
          <w:rFonts w:ascii="Times New Roman" w:hAnsi="Times New Roman" w:cs="Times New Roman"/>
          <w:sz w:val="28"/>
          <w:szCs w:val="28"/>
        </w:rPr>
        <w:t xml:space="preserve"> (недостатки)</w:t>
      </w:r>
      <w:r>
        <w:rPr>
          <w:rFonts w:ascii="Times New Roman" w:hAnsi="Times New Roman" w:cs="Times New Roman"/>
          <w:sz w:val="28"/>
          <w:szCs w:val="28"/>
        </w:rPr>
        <w:t xml:space="preserve"> по 22 документам.</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b/>
          <w:sz w:val="28"/>
          <w:szCs w:val="28"/>
        </w:rPr>
      </w:pPr>
      <w:r>
        <w:rPr>
          <w:rFonts w:ascii="Times New Roman" w:hAnsi="Times New Roman" w:cs="Times New Roman"/>
          <w:b/>
          <w:sz w:val="28"/>
          <w:szCs w:val="28"/>
        </w:rPr>
      </w:r>
      <w:r>
        <w:rPr>
          <w:rFonts w:ascii="Times New Roman" w:hAnsi="Times New Roman" w:cs="Times New Roman"/>
          <w:b/>
          <w:sz w:val="28"/>
          <w:szCs w:val="28"/>
        </w:rPr>
      </w:r>
      <w:r>
        <w:rPr>
          <w:rFonts w:ascii="Times New Roman" w:hAnsi="Times New Roman" w:cs="Times New Roman"/>
          <w:b/>
          <w:sz w:val="28"/>
          <w:szCs w:val="28"/>
        </w:rPr>
      </w:r>
    </w:p>
    <w:p>
      <w:pPr>
        <w:pStyle w:val="871"/>
        <w:contextualSpacing/>
        <w:jc w:val="both"/>
        <w:spacing w:before="0" w:line="240" w:lineRule="auto"/>
        <w:rPr>
          <w:rFonts w:ascii="Times New Roman" w:hAnsi="Times New Roman" w:eastAsia="Times New Roman" w:cs="Times New Roman"/>
          <w:b/>
          <w:color w:val="auto"/>
          <w:sz w:val="28"/>
          <w:szCs w:val="28"/>
          <w:lang w:eastAsia="ru-RU"/>
        </w:rPr>
      </w:pPr>
      <w:r/>
      <w:bookmarkStart w:id="19" w:name="_Toc19"/>
      <w:r>
        <w:rPr>
          <w:rFonts w:ascii="Times New Roman" w:hAnsi="Times New Roman" w:eastAsia="Times New Roman" w:cs="Times New Roman"/>
          <w:b/>
          <w:color w:val="auto"/>
          <w:sz w:val="28"/>
          <w:szCs w:val="28"/>
          <w:lang w:eastAsia="ru-RU"/>
        </w:rPr>
        <w:t xml:space="preserve">4.5. Ос</w:t>
      </w:r>
      <w:r>
        <w:rPr>
          <w:rFonts w:ascii="Times New Roman" w:hAnsi="Times New Roman" w:eastAsia="Times New Roman" w:cs="Times New Roman"/>
          <w:b/>
          <w:color w:val="auto"/>
          <w:sz w:val="28"/>
          <w:szCs w:val="28"/>
          <w:lang w:eastAsia="ru-RU"/>
        </w:rPr>
        <w:t xml:space="preserve">уществление контроля, предусмотренного частью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w:t>
      </w:r>
      <w:r>
        <w:rPr>
          <w:rFonts w:ascii="Times New Roman" w:hAnsi="Times New Roman" w:eastAsia="Times New Roman" w:cs="Times New Roman"/>
          <w:b/>
          <w:color w:val="auto"/>
          <w:sz w:val="28"/>
          <w:szCs w:val="28"/>
          <w:lang w:eastAsia="ru-RU"/>
        </w:rPr>
      </w:r>
      <w:bookmarkEnd w:id="19"/>
      <w:r>
        <w:rPr>
          <w:rFonts w:ascii="Times New Roman" w:hAnsi="Times New Roman" w:eastAsia="Times New Roman" w:cs="Times New Roman"/>
          <w:b/>
          <w:color w:val="auto"/>
          <w:sz w:val="28"/>
          <w:szCs w:val="28"/>
          <w:lang w:eastAsia="ru-RU"/>
        </w:rPr>
      </w:r>
      <w:r>
        <w:rPr>
          <w:rFonts w:ascii="Times New Roman" w:hAnsi="Times New Roman" w:eastAsia="Times New Roman" w:cs="Times New Roman"/>
          <w:b/>
          <w:color w:val="auto"/>
          <w:sz w:val="28"/>
          <w:szCs w:val="28"/>
          <w:lang w:eastAsia="ru-RU"/>
        </w:rPr>
      </w:r>
    </w:p>
    <w:p>
      <w:pPr>
        <w:contextualSpacing/>
        <w:ind w:firstLine="709"/>
        <w:jc w:val="both"/>
        <w:spacing w:after="0" w:line="240" w:lineRule="auto"/>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r>
      <w:r>
        <w:rPr>
          <w:rFonts w:ascii="Times New Roman" w:hAnsi="Times New Roman" w:eastAsia="Times New Roman" w:cs="Times New Roman"/>
          <w:b/>
          <w:sz w:val="28"/>
          <w:szCs w:val="28"/>
          <w:lang w:eastAsia="ru-RU"/>
        </w:rPr>
      </w:r>
      <w:r>
        <w:rPr>
          <w:rFonts w:ascii="Times New Roman" w:hAnsi="Times New Roman" w:eastAsia="Times New Roman" w:cs="Times New Roman"/>
          <w:b/>
          <w:sz w:val="28"/>
          <w:szCs w:val="28"/>
          <w:lang w:eastAsia="ru-RU"/>
        </w:rPr>
      </w:r>
    </w:p>
    <w:p>
      <w:pPr>
        <w:contextualSpacing/>
        <w:ind w:firstLine="709"/>
        <w:jc w:val="both"/>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В 2025 году в Единой информационной системе в сфере закупок</w:t>
      </w:r>
      <w:r>
        <w:rPr>
          <w:rFonts w:ascii="Times New Roman" w:hAnsi="Times New Roman"/>
          <w:sz w:val="28"/>
          <w:szCs w:val="28"/>
          <w:lang w:eastAsia="ru-RU"/>
        </w:rPr>
        <w:br/>
      </w:r>
      <w:r>
        <w:rPr>
          <w:rFonts w:ascii="Times New Roman" w:hAnsi="Times New Roman"/>
          <w:sz w:val="28"/>
          <w:szCs w:val="28"/>
          <w:lang w:eastAsia="ru-RU"/>
        </w:rPr>
        <w:t xml:space="preserve">(далее – ЕИС) в личный ка</w:t>
      </w:r>
      <w:r>
        <w:rPr>
          <w:rFonts w:ascii="Times New Roman" w:hAnsi="Times New Roman"/>
          <w:sz w:val="28"/>
          <w:szCs w:val="28"/>
          <w:lang w:eastAsia="ru-RU"/>
        </w:rPr>
        <w:t xml:space="preserve">бинет органа контроля поступило</w:t>
      </w:r>
      <w:r>
        <w:rPr>
          <w:rFonts w:ascii="Times New Roman" w:hAnsi="Times New Roman"/>
          <w:sz w:val="28"/>
          <w:szCs w:val="28"/>
          <w:lang w:eastAsia="ru-RU"/>
        </w:rPr>
        <w:br/>
        <w:t xml:space="preserve">113,4 </w:t>
      </w:r>
      <w:r>
        <w:rPr>
          <w:rFonts w:ascii="Times New Roman" w:hAnsi="Times New Roman"/>
          <w:sz w:val="28"/>
          <w:szCs w:val="28"/>
          <w:lang w:eastAsia="ru-RU"/>
        </w:rPr>
        <w:t xml:space="preserve">тыс</w:t>
      </w:r>
      <w:r>
        <w:rPr>
          <w:rFonts w:ascii="Times New Roman" w:hAnsi="Times New Roman"/>
          <w:sz w:val="28"/>
          <w:szCs w:val="28"/>
          <w:lang w:eastAsia="ru-RU"/>
        </w:rPr>
        <w:t xml:space="preserve">. </w:t>
      </w:r>
      <w:r>
        <w:rPr>
          <w:rFonts w:ascii="Times New Roman" w:hAnsi="Times New Roman"/>
          <w:sz w:val="28"/>
          <w:szCs w:val="28"/>
          <w:lang w:eastAsia="ru-RU"/>
        </w:rPr>
        <w:t xml:space="preserve">документов, подлежащих проверке. По результатам контроля в отношении</w:t>
      </w:r>
      <w:r>
        <w:rPr>
          <w:rFonts w:ascii="Times New Roman" w:hAnsi="Times New Roman"/>
          <w:sz w:val="28"/>
          <w:szCs w:val="28"/>
          <w:lang w:eastAsia="ru-RU"/>
        </w:rPr>
        <w:t xml:space="preserve"> </w:t>
      </w:r>
      <w:r>
        <w:rPr>
          <w:rFonts w:ascii="Times New Roman" w:hAnsi="Times New Roman"/>
          <w:sz w:val="28"/>
          <w:szCs w:val="28"/>
          <w:lang w:eastAsia="ru-RU"/>
        </w:rPr>
        <w:t xml:space="preserve">10,1 тыс. документов (8,9%) Управлением сформированы Протоколы об отрицательных результатах контроля по причине несоблюдения заказчиками т</w:t>
      </w:r>
      <w:r>
        <w:rPr>
          <w:rFonts w:ascii="Times New Roman" w:hAnsi="Times New Roman"/>
          <w:sz w:val="28"/>
          <w:szCs w:val="28"/>
          <w:lang w:eastAsia="ru-RU"/>
        </w:rPr>
        <w:t xml:space="preserve">ребований НПА к их формированию</w:t>
      </w:r>
      <w:r>
        <w:rPr>
          <w:rFonts w:ascii="Times New Roman" w:hAnsi="Times New Roman"/>
          <w:sz w:val="28"/>
          <w:szCs w:val="28"/>
          <w:lang w:eastAsia="ru-RU"/>
        </w:rPr>
        <w:t xml:space="preserve">.</w:t>
      </w:r>
      <w:r>
        <w:rPr>
          <w:rFonts w:ascii="Times New Roman" w:hAnsi="Times New Roman"/>
          <w:sz w:val="28"/>
          <w:szCs w:val="28"/>
          <w:lang w:eastAsia="ru-RU"/>
        </w:rPr>
      </w:r>
      <w:r>
        <w:rPr>
          <w:rFonts w:ascii="Times New Roman" w:hAnsi="Times New Roman"/>
          <w:sz w:val="28"/>
          <w:szCs w:val="28"/>
          <w:lang w:eastAsia="ru-RU"/>
        </w:rPr>
      </w:r>
    </w:p>
    <w:p>
      <w:pPr>
        <w:contextualSpacing/>
        <w:ind w:firstLine="709"/>
        <w:jc w:val="both"/>
        <w:spacing w:after="0" w:line="240" w:lineRule="auto"/>
        <w:rPr>
          <w:rFonts w:ascii="Times New Roman" w:hAnsi="Times New Roman"/>
          <w:sz w:val="28"/>
          <w:szCs w:val="28"/>
          <w:lang w:eastAsia="ru-RU"/>
        </w:rPr>
      </w:pPr>
      <w:r>
        <w:rPr>
          <w:rFonts w:ascii="Times New Roman" w:hAnsi="Times New Roman"/>
          <w:sz w:val="28"/>
          <w:szCs w:val="28"/>
          <w:lang w:eastAsia="ru-RU"/>
        </w:rPr>
      </w:r>
      <w:r>
        <w:rPr>
          <w:rFonts w:ascii="Times New Roman" w:hAnsi="Times New Roman"/>
          <w:sz w:val="28"/>
          <w:szCs w:val="28"/>
          <w:lang w:eastAsia="ru-RU"/>
        </w:rPr>
      </w:r>
      <w:r>
        <w:rPr>
          <w:rFonts w:ascii="Times New Roman" w:hAnsi="Times New Roman"/>
          <w:sz w:val="28"/>
          <w:szCs w:val="28"/>
          <w:lang w:eastAsia="ru-RU"/>
        </w:rPr>
      </w:r>
    </w:p>
    <w:p>
      <w:pPr>
        <w:pStyle w:val="871"/>
        <w:contextualSpacing/>
        <w:jc w:val="both"/>
        <w:spacing w:before="0" w:line="240" w:lineRule="auto"/>
        <w:rPr>
          <w:rFonts w:ascii="Times New Roman" w:hAnsi="Times New Roman" w:eastAsia="Tahoma" w:cs="Times New Roman"/>
          <w:b/>
          <w:color w:val="auto"/>
          <w:sz w:val="28"/>
          <w:szCs w:val="28"/>
          <w:lang w:eastAsia="ru-RU" w:bidi="ru-RU"/>
        </w:rPr>
      </w:pPr>
      <w:r/>
      <w:bookmarkStart w:id="20" w:name="_Toc20"/>
      <w:r>
        <w:rPr>
          <w:rFonts w:ascii="Times New Roman" w:hAnsi="Times New Roman" w:eastAsia="Tahoma" w:cs="Times New Roman"/>
          <w:b/>
          <w:color w:val="auto"/>
          <w:sz w:val="28"/>
          <w:szCs w:val="28"/>
          <w:lang w:eastAsia="ru-RU" w:bidi="ru-RU"/>
        </w:rPr>
        <w:t xml:space="preserve">4.6. Осуществление проверки и размещения в реестре договоров о проведении капитального ремонта, заключенных заказчиками в соответствии с положениями пункта 239 Порядка привлечения подрядных организаций для оказания</w:t>
      </w:r>
      <w:r>
        <w:rPr>
          <w:rFonts w:ascii="Times New Roman" w:hAnsi="Times New Roman" w:eastAsia="Tahoma" w:cs="Times New Roman"/>
          <w:b/>
          <w:color w:val="auto"/>
          <w:sz w:val="28"/>
          <w:szCs w:val="28"/>
          <w:lang w:eastAsia="ru-RU" w:bidi="ru-RU"/>
        </w:rPr>
        <w:t xml:space="preserve"> услуг и (или) выполнения работ</w:t>
      </w:r>
      <w:r>
        <w:rPr>
          <w:rFonts w:ascii="Times New Roman" w:hAnsi="Times New Roman" w:eastAsia="Tahoma" w:cs="Times New Roman"/>
          <w:b/>
          <w:color w:val="auto"/>
          <w:sz w:val="28"/>
          <w:szCs w:val="28"/>
          <w:lang w:eastAsia="ru-RU" w:bidi="ru-RU"/>
        </w:rPr>
        <w:br/>
      </w:r>
      <w:r>
        <w:rPr>
          <w:rFonts w:ascii="Times New Roman" w:hAnsi="Times New Roman" w:eastAsia="Tahoma" w:cs="Times New Roman"/>
          <w:b/>
          <w:color w:val="auto"/>
          <w:sz w:val="28"/>
          <w:szCs w:val="28"/>
          <w:lang w:eastAsia="ru-RU" w:bidi="ru-RU"/>
        </w:rPr>
        <w:t xml:space="preserve">по капитальному ремонту общего имущества в многоквартирном доме и порядке осуществления закупок товаров, р</w:t>
      </w:r>
      <w:r>
        <w:rPr>
          <w:rFonts w:ascii="Times New Roman" w:hAnsi="Times New Roman" w:eastAsia="Tahoma" w:cs="Times New Roman"/>
          <w:b/>
          <w:color w:val="auto"/>
          <w:sz w:val="28"/>
          <w:szCs w:val="28"/>
          <w:lang w:eastAsia="ru-RU" w:bidi="ru-RU"/>
        </w:rPr>
        <w:t xml:space="preserve">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утвержденного постановлением Правительс</w:t>
      </w:r>
      <w:r>
        <w:rPr>
          <w:rFonts w:ascii="Times New Roman" w:hAnsi="Times New Roman" w:eastAsia="Tahoma" w:cs="Times New Roman"/>
          <w:b/>
          <w:color w:val="auto"/>
          <w:sz w:val="28"/>
          <w:szCs w:val="28"/>
          <w:lang w:eastAsia="ru-RU" w:bidi="ru-RU"/>
        </w:rPr>
        <w:t xml:space="preserve">тва Российской Федерации</w:t>
      </w:r>
      <w:r>
        <w:rPr>
          <w:rFonts w:ascii="Times New Roman" w:hAnsi="Times New Roman" w:eastAsia="Tahoma" w:cs="Times New Roman"/>
          <w:b/>
          <w:color w:val="auto"/>
          <w:sz w:val="28"/>
          <w:szCs w:val="28"/>
          <w:lang w:eastAsia="ru-RU" w:bidi="ru-RU"/>
        </w:rPr>
        <w:br/>
      </w:r>
      <w:r>
        <w:rPr>
          <w:rFonts w:ascii="Times New Roman" w:hAnsi="Times New Roman" w:eastAsia="Tahoma" w:cs="Times New Roman"/>
          <w:b/>
          <w:color w:val="auto"/>
          <w:sz w:val="28"/>
          <w:szCs w:val="28"/>
          <w:lang w:eastAsia="ru-RU" w:bidi="ru-RU"/>
        </w:rPr>
        <w:t xml:space="preserve">от 01 июля 2016 г. № 615</w:t>
      </w:r>
      <w:r>
        <w:rPr>
          <w:rFonts w:ascii="Times New Roman" w:hAnsi="Times New Roman" w:eastAsia="Tahoma" w:cs="Times New Roman"/>
          <w:b/>
          <w:color w:val="auto"/>
          <w:sz w:val="28"/>
          <w:szCs w:val="28"/>
          <w:lang w:eastAsia="ru-RU" w:bidi="ru-RU"/>
        </w:rPr>
      </w:r>
      <w:bookmarkEnd w:id="20"/>
      <w:r>
        <w:rPr>
          <w:rFonts w:ascii="Times New Roman" w:hAnsi="Times New Roman" w:eastAsia="Tahoma" w:cs="Times New Roman"/>
          <w:b/>
          <w:color w:val="auto"/>
          <w:sz w:val="28"/>
          <w:szCs w:val="28"/>
          <w:lang w:eastAsia="ru-RU" w:bidi="ru-RU"/>
        </w:rPr>
      </w:r>
      <w:r>
        <w:rPr>
          <w:rFonts w:ascii="Times New Roman" w:hAnsi="Times New Roman" w:eastAsia="Tahoma" w:cs="Times New Roman"/>
          <w:b/>
          <w:color w:val="auto"/>
          <w:sz w:val="28"/>
          <w:szCs w:val="28"/>
          <w:lang w:eastAsia="ru-RU" w:bidi="ru-RU"/>
        </w:rPr>
      </w:r>
    </w:p>
    <w:p>
      <w:pPr>
        <w:contextualSpacing/>
        <w:ind w:firstLine="709"/>
        <w:jc w:val="both"/>
        <w:spacing w:after="0" w:line="240" w:lineRule="auto"/>
        <w:rPr>
          <w:rFonts w:ascii="Times New Roman" w:hAnsi="Times New Roman" w:eastAsia="Tahoma" w:cs="Times New Roman"/>
          <w:sz w:val="28"/>
          <w:szCs w:val="28"/>
          <w:lang w:eastAsia="ru-RU" w:bidi="ru-RU"/>
        </w:rPr>
      </w:pPr>
      <w:r>
        <w:rPr>
          <w:rFonts w:ascii="Times New Roman" w:hAnsi="Times New Roman" w:eastAsia="Tahoma" w:cs="Times New Roman"/>
          <w:sz w:val="28"/>
          <w:szCs w:val="28"/>
          <w:lang w:eastAsia="ru-RU" w:bidi="ru-RU"/>
        </w:rPr>
      </w:r>
      <w:r>
        <w:rPr>
          <w:rFonts w:ascii="Times New Roman" w:hAnsi="Times New Roman" w:eastAsia="Tahoma" w:cs="Times New Roman"/>
          <w:sz w:val="28"/>
          <w:szCs w:val="28"/>
          <w:lang w:eastAsia="ru-RU" w:bidi="ru-RU"/>
        </w:rPr>
      </w:r>
      <w:r>
        <w:rPr>
          <w:rFonts w:ascii="Times New Roman" w:hAnsi="Times New Roman" w:eastAsia="Tahoma" w:cs="Times New Roman"/>
          <w:sz w:val="28"/>
          <w:szCs w:val="28"/>
          <w:lang w:eastAsia="ru-RU" w:bidi="ru-RU"/>
        </w:rPr>
      </w:r>
    </w:p>
    <w:p>
      <w:pPr>
        <w:contextualSpacing/>
        <w:ind w:firstLine="709"/>
        <w:jc w:val="both"/>
        <w:spacing w:after="0" w:line="240" w:lineRule="auto"/>
        <w:rPr>
          <w:rFonts w:ascii="Times New Roman" w:hAnsi="Times New Roman" w:eastAsia="Tahoma" w:cs="Times New Roman"/>
          <w:sz w:val="28"/>
          <w:szCs w:val="28"/>
          <w:lang w:eastAsia="ru-RU" w:bidi="ru-RU"/>
        </w:rPr>
      </w:pPr>
      <w:r>
        <w:rPr>
          <w:rFonts w:ascii="Times New Roman" w:hAnsi="Times New Roman" w:eastAsia="Tahoma" w:cs="Times New Roman"/>
          <w:sz w:val="28"/>
          <w:szCs w:val="28"/>
          <w:lang w:eastAsia="ru-RU" w:bidi="ru-RU"/>
        </w:rPr>
        <w:t xml:space="preserve">В 202</w:t>
      </w:r>
      <w:r>
        <w:rPr>
          <w:rFonts w:ascii="Times New Roman" w:hAnsi="Times New Roman" w:eastAsia="Tahoma" w:cs="Times New Roman"/>
          <w:sz w:val="28"/>
          <w:szCs w:val="28"/>
          <w:lang w:eastAsia="ru-RU" w:bidi="ru-RU"/>
        </w:rPr>
        <w:t xml:space="preserve">5</w:t>
      </w:r>
      <w:r>
        <w:rPr>
          <w:rFonts w:ascii="Times New Roman" w:hAnsi="Times New Roman" w:eastAsia="Tahoma" w:cs="Times New Roman"/>
          <w:sz w:val="28"/>
          <w:szCs w:val="28"/>
          <w:lang w:eastAsia="ru-RU" w:bidi="ru-RU"/>
        </w:rPr>
        <w:t xml:space="preserve"> году в реестр договоров о проведении капитального ремонта ЕИС по рез</w:t>
      </w:r>
      <w:r>
        <w:rPr>
          <w:rFonts w:ascii="Times New Roman" w:hAnsi="Times New Roman" w:eastAsia="Tahoma" w:cs="Times New Roman"/>
          <w:sz w:val="28"/>
          <w:szCs w:val="28"/>
          <w:lang w:eastAsia="ru-RU" w:bidi="ru-RU"/>
        </w:rPr>
        <w:t xml:space="preserve">ультатам проверки включено 4 461</w:t>
      </w:r>
      <w:r>
        <w:rPr>
          <w:rFonts w:ascii="Times New Roman" w:hAnsi="Times New Roman" w:eastAsia="Tahoma" w:cs="Times New Roman"/>
          <w:sz w:val="28"/>
          <w:szCs w:val="28"/>
          <w:lang w:eastAsia="ru-RU" w:bidi="ru-RU"/>
        </w:rPr>
        <w:t xml:space="preserve"> документ и информаци</w:t>
      </w:r>
      <w:r>
        <w:rPr>
          <w:rFonts w:ascii="Times New Roman" w:hAnsi="Times New Roman" w:eastAsia="Tahoma" w:cs="Times New Roman"/>
          <w:sz w:val="28"/>
          <w:szCs w:val="28"/>
          <w:lang w:eastAsia="ru-RU" w:bidi="ru-RU"/>
        </w:rPr>
        <w:t xml:space="preserve">я</w:t>
      </w:r>
      <w:r>
        <w:rPr>
          <w:rFonts w:ascii="Times New Roman" w:hAnsi="Times New Roman" w:eastAsia="Tahoma" w:cs="Times New Roman"/>
          <w:sz w:val="28"/>
          <w:szCs w:val="28"/>
          <w:lang w:eastAsia="ru-RU" w:bidi="ru-RU"/>
        </w:rPr>
        <w:br/>
      </w:r>
      <w:r>
        <w:rPr>
          <w:rFonts w:ascii="Times New Roman" w:hAnsi="Times New Roman" w:eastAsia="Tahoma" w:cs="Times New Roman"/>
          <w:sz w:val="28"/>
          <w:szCs w:val="28"/>
          <w:lang w:eastAsia="ru-RU" w:bidi="ru-RU"/>
        </w:rPr>
        <w:t xml:space="preserve">(</w:t>
      </w:r>
      <w:r>
        <w:rPr>
          <w:rFonts w:ascii="Times New Roman" w:hAnsi="Times New Roman" w:cs="Times New Roman"/>
          <w:sz w:val="28"/>
          <w:szCs w:val="28"/>
          <w:lang w:eastAsia="ru-RU"/>
        </w:rPr>
        <w:t xml:space="preserve">15</w:t>
      </w:r>
      <w:r>
        <w:rPr>
          <w:rFonts w:ascii="Times New Roman" w:hAnsi="Times New Roman" w:cs="Times New Roman"/>
          <w:sz w:val="28"/>
          <w:szCs w:val="28"/>
          <w:lang w:eastAsia="ru-RU"/>
        </w:rPr>
        <w:t xml:space="preserve">9</w:t>
      </w:r>
      <w:r>
        <w:rPr>
          <w:rFonts w:ascii="Times New Roman" w:hAnsi="Times New Roman" w:cs="Times New Roman"/>
          <w:sz w:val="28"/>
          <w:szCs w:val="28"/>
          <w:lang w:eastAsia="ru-RU"/>
        </w:rPr>
        <w:t xml:space="preserve"> информаций о заключенных договорах, </w:t>
      </w:r>
      <w:r>
        <w:rPr>
          <w:rFonts w:ascii="Times New Roman" w:hAnsi="Times New Roman" w:cs="Times New Roman"/>
          <w:sz w:val="28"/>
          <w:szCs w:val="28"/>
          <w:lang w:eastAsia="ru-RU"/>
        </w:rPr>
        <w:t xml:space="preserve">8</w:t>
      </w:r>
      <w:r>
        <w:rPr>
          <w:rFonts w:ascii="Times New Roman" w:hAnsi="Times New Roman" w:cs="Times New Roman"/>
          <w:sz w:val="28"/>
          <w:szCs w:val="28"/>
          <w:lang w:eastAsia="ru-RU"/>
        </w:rPr>
        <w:t xml:space="preserve"> информаций о расторжении договоров, 3</w:t>
      </w:r>
      <w:r>
        <w:rPr>
          <w:rFonts w:ascii="Times New Roman" w:hAnsi="Times New Roman" w:cs="Times New Roman"/>
          <w:sz w:val="28"/>
          <w:szCs w:val="28"/>
          <w:lang w:eastAsia="ru-RU"/>
        </w:rPr>
        <w:t xml:space="preserve">08</w:t>
      </w:r>
      <w:r>
        <w:rPr>
          <w:rFonts w:ascii="Times New Roman" w:hAnsi="Times New Roman" w:cs="Times New Roman"/>
          <w:sz w:val="28"/>
          <w:szCs w:val="28"/>
          <w:lang w:eastAsia="ru-RU"/>
        </w:rPr>
        <w:t xml:space="preserve"> информаций об изменении договоров и </w:t>
      </w:r>
      <w:r>
        <w:rPr>
          <w:rFonts w:ascii="Times New Roman" w:hAnsi="Times New Roman" w:cs="Times New Roman"/>
          <w:sz w:val="28"/>
          <w:szCs w:val="28"/>
          <w:lang w:eastAsia="ru-RU"/>
        </w:rPr>
        <w:t xml:space="preserve">3 986 информаций</w:t>
      </w:r>
      <w:r>
        <w:rPr>
          <w:rFonts w:ascii="Times New Roman" w:hAnsi="Times New Roman" w:cs="Times New Roman"/>
          <w:sz w:val="28"/>
          <w:szCs w:val="28"/>
          <w:lang w:eastAsia="ru-RU"/>
        </w:rPr>
        <w:t xml:space="preserve"> об исполнении договоров</w:t>
      </w:r>
      <w:r>
        <w:rPr>
          <w:rFonts w:ascii="Times New Roman" w:hAnsi="Times New Roman" w:eastAsia="Tahoma" w:cs="Times New Roman"/>
          <w:sz w:val="28"/>
          <w:szCs w:val="28"/>
          <w:lang w:eastAsia="ru-RU" w:bidi="ru-RU"/>
        </w:rPr>
        <w:t xml:space="preserve">).</w:t>
      </w:r>
      <w:r>
        <w:rPr>
          <w:rFonts w:ascii="Times New Roman" w:hAnsi="Times New Roman" w:eastAsia="Tahoma" w:cs="Times New Roman"/>
          <w:sz w:val="28"/>
          <w:szCs w:val="28"/>
          <w:lang w:eastAsia="ru-RU" w:bidi="ru-RU"/>
        </w:rPr>
      </w:r>
      <w:r>
        <w:rPr>
          <w:rFonts w:ascii="Times New Roman" w:hAnsi="Times New Roman" w:eastAsia="Tahoma" w:cs="Times New Roman"/>
          <w:sz w:val="28"/>
          <w:szCs w:val="28"/>
          <w:lang w:eastAsia="ru-RU" w:bidi="ru-RU"/>
        </w:rPr>
      </w:r>
    </w:p>
    <w:p>
      <w:pPr>
        <w:contextualSpacing/>
        <w:ind w:firstLine="709"/>
        <w:jc w:val="both"/>
        <w:spacing w:after="0" w:line="240" w:lineRule="auto"/>
        <w:rPr>
          <w:rFonts w:ascii="Times New Roman" w:hAnsi="Times New Roman" w:eastAsia="Tahoma" w:cs="Times New Roman"/>
          <w:sz w:val="28"/>
          <w:szCs w:val="28"/>
          <w:lang w:eastAsia="ru-RU" w:bidi="ru-RU"/>
        </w:rPr>
      </w:pPr>
      <w:r>
        <w:rPr>
          <w:rFonts w:ascii="Times New Roman" w:hAnsi="Times New Roman" w:eastAsia="Tahoma" w:cs="Times New Roman"/>
          <w:sz w:val="28"/>
          <w:szCs w:val="28"/>
          <w:lang w:eastAsia="ru-RU" w:bidi="ru-RU"/>
        </w:rPr>
      </w:r>
      <w:r>
        <w:rPr>
          <w:rFonts w:ascii="Times New Roman" w:hAnsi="Times New Roman" w:eastAsia="Tahoma" w:cs="Times New Roman"/>
          <w:sz w:val="28"/>
          <w:szCs w:val="28"/>
          <w:lang w:eastAsia="ru-RU" w:bidi="ru-RU"/>
        </w:rPr>
      </w:r>
      <w:r>
        <w:rPr>
          <w:rFonts w:ascii="Times New Roman" w:hAnsi="Times New Roman" w:eastAsia="Tahoma" w:cs="Times New Roman"/>
          <w:sz w:val="28"/>
          <w:szCs w:val="28"/>
          <w:lang w:eastAsia="ru-RU" w:bidi="ru-RU"/>
        </w:rPr>
      </w:r>
    </w:p>
    <w:p>
      <w:pPr>
        <w:pStyle w:val="871"/>
        <w:contextualSpacing/>
        <w:jc w:val="both"/>
        <w:spacing w:before="0" w:line="240" w:lineRule="auto"/>
        <w:rPr>
          <w:rFonts w:ascii="Times New Roman" w:hAnsi="Times New Roman" w:cs="Times New Roman"/>
          <w:b/>
          <w:color w:val="auto"/>
          <w:sz w:val="28"/>
          <w:szCs w:val="28"/>
        </w:rPr>
      </w:pPr>
      <w:r/>
      <w:bookmarkStart w:id="21" w:name="_Toc21"/>
      <w:r>
        <w:rPr>
          <w:rFonts w:hint="default" w:ascii="Times New Roman" w:hAnsi="Times New Roman" w:eastAsia="Times New Roman" w:cs="Times New Roman"/>
          <w:b/>
          <w:color w:val="auto"/>
          <w:sz w:val="28"/>
          <w:szCs w:val="28"/>
        </w:rPr>
        <w:t xml:space="preserve">V</w:t>
      </w:r>
      <w:r>
        <w:rPr>
          <w:rFonts w:ascii="Times New Roman" w:hAnsi="Times New Roman" w:eastAsia="Times New Roman" w:cs="Times New Roman"/>
          <w:b/>
          <w:color w:val="auto"/>
          <w:sz w:val="28"/>
          <w:szCs w:val="28"/>
        </w:rPr>
        <w:t xml:space="preserve">. </w:t>
      </w:r>
      <w:r>
        <w:rPr>
          <w:rFonts w:ascii="Times New Roman" w:hAnsi="Times New Roman" w:cs="Times New Roman"/>
          <w:b/>
          <w:color w:val="auto"/>
          <w:sz w:val="28"/>
          <w:szCs w:val="28"/>
        </w:rPr>
        <w:t xml:space="preserve">Информационные системы Федерального казначейства</w:t>
      </w:r>
      <w:r>
        <w:rPr>
          <w:rFonts w:ascii="Times New Roman" w:hAnsi="Times New Roman" w:cs="Times New Roman"/>
          <w:b/>
          <w:color w:val="auto"/>
          <w:sz w:val="28"/>
          <w:szCs w:val="28"/>
        </w:rPr>
      </w:r>
      <w:bookmarkEnd w:id="21"/>
      <w:r>
        <w:rPr>
          <w:rFonts w:ascii="Times New Roman" w:hAnsi="Times New Roman" w:cs="Times New Roman"/>
          <w:b/>
          <w:color w:val="auto"/>
          <w:sz w:val="28"/>
          <w:szCs w:val="28"/>
        </w:rPr>
      </w:r>
      <w:r>
        <w:rPr>
          <w:rFonts w:ascii="Times New Roman" w:hAnsi="Times New Roman" w:cs="Times New Roman"/>
          <w:b/>
          <w:color w:val="auto"/>
          <w:sz w:val="28"/>
          <w:szCs w:val="28"/>
        </w:rPr>
      </w:r>
    </w:p>
    <w:p>
      <w:pPr>
        <w:contextualSpacing/>
        <w:ind w:firstLine="709"/>
        <w:jc w:val="both"/>
        <w:spacing w:after="0" w:line="240" w:lineRule="auto"/>
        <w:rPr>
          <w:rFonts w:ascii="Times New Roman" w:hAnsi="Times New Roman" w:cs="Times New Roman"/>
          <w:b/>
          <w:sz w:val="28"/>
          <w:szCs w:val="28"/>
        </w:rPr>
      </w:pPr>
      <w:r>
        <w:rPr>
          <w:rFonts w:ascii="Times New Roman" w:hAnsi="Times New Roman" w:cs="Times New Roman"/>
          <w:b/>
          <w:sz w:val="28"/>
          <w:szCs w:val="28"/>
        </w:rPr>
      </w:r>
      <w:r>
        <w:rPr>
          <w:rFonts w:ascii="Times New Roman" w:hAnsi="Times New Roman" w:cs="Times New Roman"/>
          <w:b/>
          <w:sz w:val="28"/>
          <w:szCs w:val="28"/>
        </w:rPr>
      </w:r>
      <w:r>
        <w:rPr>
          <w:rFonts w:ascii="Times New Roman" w:hAnsi="Times New Roman" w:cs="Times New Roman"/>
          <w:b/>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Информационные системы, оператором которых является Федеральное казначейство, призваны обеспечить проз</w:t>
      </w:r>
      <w:r>
        <w:rPr>
          <w:rFonts w:ascii="Times New Roman" w:hAnsi="Times New Roman" w:cs="Times New Roman"/>
          <w:sz w:val="28"/>
          <w:szCs w:val="28"/>
        </w:rPr>
        <w:t xml:space="preserve">рачность финансовой системы государства и эффективность межведомственного взаимодействия, позволяют взаимодействовать государству и обществу, а также создавать систему общественного контроля за результатами деятельности сектора государственного управления.</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2025 году Управление продолжило мероприятия, направленные на функционирование следующих информационных систем Федерального казначейства: Автоматизированная система Федерального казначейства  (далее </w:t>
      </w:r>
      <w:r>
        <w:rPr>
          <w:rFonts w:ascii="Times New Roman" w:hAnsi="Times New Roman" w:cs="Times New Roman"/>
          <w:sz w:val="28"/>
          <w:szCs w:val="28"/>
        </w:rPr>
        <w:t xml:space="preserve">–</w:t>
      </w:r>
      <w:r>
        <w:rPr>
          <w:rFonts w:ascii="Times New Roman" w:hAnsi="Times New Roman" w:cs="Times New Roman"/>
          <w:sz w:val="28"/>
          <w:szCs w:val="28"/>
        </w:rPr>
        <w:t xml:space="preserve"> АСФК); Система удаленного </w:t>
      </w:r>
      <w:r>
        <w:rPr>
          <w:rFonts w:ascii="Times New Roman" w:hAnsi="Times New Roman" w:cs="Times New Roman"/>
          <w:sz w:val="28"/>
          <w:szCs w:val="28"/>
        </w:rPr>
        <w:t xml:space="preserve">финансового документооборота (далее – СУФД); Государственная информационная система о государственных и муниципальных платежах (далее – ГИС ГМП); ЕИС; Официальный сайт для размещения информации о государственных (муниципальных) учреждениях в информационно-</w:t>
      </w:r>
      <w:r>
        <w:rPr>
          <w:rFonts w:ascii="Times New Roman" w:hAnsi="Times New Roman" w:cs="Times New Roman"/>
          <w:sz w:val="28"/>
          <w:szCs w:val="28"/>
        </w:rPr>
        <w:t xml:space="preserve">телекоммуникационной сети «Интернет»; Государственная автоматизированная информационная система «Управление» (далее – </w:t>
      </w:r>
      <w:r>
        <w:rPr>
          <w:rFonts w:ascii="Times New Roman" w:hAnsi="Times New Roman" w:cs="Times New Roman"/>
          <w:sz w:val="28"/>
          <w:szCs w:val="28"/>
        </w:rPr>
        <w:t xml:space="preserve">ГАС</w:t>
      </w:r>
      <w:r>
        <w:rPr>
          <w:rFonts w:ascii="Times New Roman" w:hAnsi="Times New Roman" w:cs="Times New Roman"/>
          <w:sz w:val="28"/>
          <w:szCs w:val="28"/>
        </w:rPr>
        <w:t xml:space="preserve"> «Управление»</w:t>
      </w:r>
      <w:r>
        <w:rPr>
          <w:rFonts w:ascii="Times New Roman" w:hAnsi="Times New Roman" w:cs="Times New Roman"/>
          <w:sz w:val="28"/>
          <w:szCs w:val="28"/>
        </w:rPr>
        <w:t xml:space="preserve">); отдельных подсистем (компонентов, модулей) </w:t>
      </w:r>
      <w:r>
        <w:rPr>
          <w:rFonts w:ascii="Times New Roman" w:hAnsi="Times New Roman" w:cs="Times New Roman"/>
          <w:sz w:val="28"/>
          <w:szCs w:val="28"/>
        </w:rPr>
        <w:t xml:space="preserve">ГИИС «Электронный бюджет»; шлюз «ПУДС КБРН».</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Управление оказывает консультативную поддержку по вопросам размещения органами государственной власти Челябинской области и органами местного самоуправления Челябинской области информации </w:t>
      </w:r>
      <w:r>
        <w:rPr>
          <w:rFonts w:ascii="Times New Roman" w:hAnsi="Times New Roman" w:cs="Times New Roman"/>
          <w:sz w:val="28"/>
          <w:szCs w:val="28"/>
        </w:rPr>
        <w:t xml:space="preserve">в ГАС</w:t>
      </w:r>
      <w:r>
        <w:rPr>
          <w:rFonts w:ascii="Times New Roman" w:hAnsi="Times New Roman" w:cs="Times New Roman"/>
          <w:sz w:val="28"/>
          <w:szCs w:val="28"/>
        </w:rPr>
        <w:t xml:space="preserve"> «Управление», направляет информационные письма.</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Рассмотрены, подгото</w:t>
      </w:r>
      <w:r>
        <w:rPr>
          <w:rFonts w:ascii="Times New Roman" w:hAnsi="Times New Roman" w:cs="Times New Roman"/>
          <w:sz w:val="28"/>
          <w:szCs w:val="28"/>
        </w:rPr>
        <w:t xml:space="preserve">влены и направлены ответы на 35</w:t>
      </w:r>
      <w:r>
        <w:rPr>
          <w:rFonts w:ascii="Times New Roman" w:hAnsi="Times New Roman" w:cs="Times New Roman"/>
          <w:sz w:val="28"/>
          <w:szCs w:val="28"/>
        </w:rPr>
        <w:t xml:space="preserve">0 обращений</w:t>
      </w:r>
      <w:r>
        <w:rPr>
          <w:rFonts w:ascii="Times New Roman" w:hAnsi="Times New Roman" w:cs="Times New Roman"/>
          <w:sz w:val="28"/>
          <w:szCs w:val="28"/>
        </w:rPr>
        <w:t xml:space="preserve"> пользователей ЕИС, связанных с вопросами функционирования контрактной системы.</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w:t>
      </w:r>
      <w:r>
        <w:rPr>
          <w:rFonts w:ascii="Times New Roman" w:hAnsi="Times New Roman" w:cs="Times New Roman"/>
          <w:sz w:val="28"/>
          <w:szCs w:val="28"/>
        </w:rPr>
        <w:t xml:space="preserve"> рамках исполнения пр</w:t>
      </w:r>
      <w:r>
        <w:rPr>
          <w:rFonts w:ascii="Times New Roman" w:hAnsi="Times New Roman" w:cs="Times New Roman"/>
          <w:sz w:val="28"/>
          <w:szCs w:val="28"/>
        </w:rPr>
        <w:t xml:space="preserve">иказа Федерального казначейства</w:t>
      </w:r>
      <w:r>
        <w:rPr>
          <w:rFonts w:ascii="Times New Roman" w:hAnsi="Times New Roman" w:cs="Times New Roman"/>
          <w:sz w:val="28"/>
          <w:szCs w:val="28"/>
        </w:rPr>
        <w:br/>
      </w:r>
      <w:r>
        <w:rPr>
          <w:rFonts w:ascii="Times New Roman" w:hAnsi="Times New Roman" w:cs="Times New Roman"/>
          <w:sz w:val="28"/>
          <w:szCs w:val="28"/>
        </w:rPr>
        <w:t xml:space="preserve">от 12 декабря 2018 г. № 400 «Об организации размещения информации на едином портале бюджетной системы Российской Федерации и осуществления полномочий его оператора» Управлением </w:t>
      </w:r>
      <w:r>
        <w:rPr>
          <w:rFonts w:ascii="Times New Roman" w:hAnsi="Times New Roman" w:cs="Times New Roman"/>
          <w:sz w:val="28"/>
          <w:szCs w:val="28"/>
        </w:rPr>
        <w:t xml:space="preserve">подготовлено 8 мониторинговых отчетов размещения информации финансовыми органами субъекта Российской Федерации, муниципальных образований и органами управления государственными внебюджетными фондами на едином портале бюджетной системы Российской Федерации.</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Осуществлялась информационно-техническая под</w:t>
      </w:r>
      <w:r>
        <w:rPr>
          <w:rFonts w:ascii="Times New Roman" w:hAnsi="Times New Roman" w:cs="Times New Roman"/>
          <w:sz w:val="28"/>
          <w:szCs w:val="28"/>
        </w:rPr>
        <w:t xml:space="preserve">держка клиентов Управления и иных организаций по их подключению, регистрации и работе в информационных системах Федерального казначейства. За 2025 год решено 301 обращения по СУФД, 98 обращений по СЭД, отработано 3447 рабочих задания по сертификатам клиент</w:t>
      </w:r>
      <w:r>
        <w:rPr>
          <w:rFonts w:ascii="Times New Roman" w:hAnsi="Times New Roman" w:cs="Times New Roman"/>
          <w:sz w:val="28"/>
          <w:szCs w:val="28"/>
        </w:rPr>
        <w:t xml:space="preserve">ов, 554 заявки на предоставление учетных записей СУФД, а также 553 заявки на изменение уровней подписей в карточках образцов подписей, оказано более 3500 телефонных консультаций по вопросам СУФД, а также даны ответы на 254 вопроса клиентов по вопросам СУФД</w:t>
      </w:r>
      <w:r>
        <w:rPr>
          <w:rFonts w:ascii="Times New Roman" w:hAnsi="Times New Roman" w:cs="Times New Roman"/>
          <w:sz w:val="28"/>
          <w:szCs w:val="28"/>
        </w:rPr>
        <w:t xml:space="preserve">, заданных по электронной почте</w:t>
      </w:r>
      <w:r>
        <w:rPr>
          <w:rFonts w:ascii="Times New Roman" w:hAnsi="Times New Roman" w:cs="Times New Roman"/>
          <w:sz w:val="28"/>
          <w:szCs w:val="28"/>
        </w:rPr>
        <w:t xml:space="preserve">. В 2025 году пер</w:t>
      </w:r>
      <w:r>
        <w:rPr>
          <w:rFonts w:ascii="Times New Roman" w:hAnsi="Times New Roman" w:cs="Times New Roman"/>
          <w:sz w:val="28"/>
          <w:szCs w:val="28"/>
        </w:rPr>
        <w:t xml:space="preserve">еведено новых клиентов на СУФД –</w:t>
      </w:r>
      <w:r>
        <w:rPr>
          <w:rFonts w:ascii="Times New Roman" w:hAnsi="Times New Roman" w:cs="Times New Roman"/>
          <w:sz w:val="28"/>
          <w:szCs w:val="28"/>
        </w:rPr>
        <w:t xml:space="preserve"> 40, подключено новых полномочий клиентов на СУФД – 737 (в 2025 году проводились 2 больших реорганизации: первая – в связи с сокращением 8 ТОФК и вторая – в связи с переводом клиентов местных бюджетов в муниципальные округа)</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202</w:t>
      </w:r>
      <w:r>
        <w:rPr>
          <w:rFonts w:ascii="Times New Roman" w:hAnsi="Times New Roman" w:cs="Times New Roman"/>
          <w:sz w:val="28"/>
          <w:szCs w:val="28"/>
        </w:rPr>
        <w:t xml:space="preserve">5 году обработано более 40</w:t>
      </w:r>
      <w:r>
        <w:rPr>
          <w:rFonts w:ascii="Times New Roman" w:hAnsi="Times New Roman" w:cs="Times New Roman"/>
          <w:sz w:val="28"/>
          <w:szCs w:val="28"/>
        </w:rPr>
        <w:t xml:space="preserve">00 заявок на предоставление полномочий к</w:t>
      </w:r>
      <w:r>
        <w:rPr>
          <w:rFonts w:ascii="Times New Roman" w:hAnsi="Times New Roman" w:cs="Times New Roman"/>
          <w:sz w:val="28"/>
          <w:szCs w:val="28"/>
        </w:rPr>
        <w:t xml:space="preserve">лиентов в</w:t>
      </w:r>
      <w:r>
        <w:rPr>
          <w:rFonts w:ascii="Times New Roman" w:hAnsi="Times New Roman" w:cs="Times New Roman"/>
          <w:sz w:val="28"/>
          <w:szCs w:val="28"/>
        </w:rPr>
        <w:t xml:space="preserve"> ГИИС «Электронный бюджет» посредством</w:t>
      </w:r>
      <w:r>
        <w:rPr>
          <w:rFonts w:ascii="Times New Roman" w:hAnsi="Times New Roman" w:cs="Times New Roman"/>
          <w:sz w:val="28"/>
          <w:szCs w:val="28"/>
        </w:rPr>
        <w:t xml:space="preserve"> </w:t>
      </w:r>
      <w:r>
        <w:rPr>
          <w:rFonts w:ascii="Times New Roman" w:hAnsi="Times New Roman" w:cs="Times New Roman"/>
          <w:sz w:val="28"/>
          <w:szCs w:val="28"/>
        </w:rPr>
        <w:t xml:space="preserve">Подсистем</w:t>
      </w:r>
      <w:r>
        <w:rPr>
          <w:rFonts w:ascii="Times New Roman" w:hAnsi="Times New Roman" w:cs="Times New Roman"/>
          <w:sz w:val="28"/>
          <w:szCs w:val="28"/>
        </w:rPr>
        <w:t xml:space="preserve">ы</w:t>
      </w:r>
      <w:r>
        <w:rPr>
          <w:rFonts w:ascii="Times New Roman" w:hAnsi="Times New Roman" w:cs="Times New Roman"/>
          <w:sz w:val="28"/>
          <w:szCs w:val="28"/>
        </w:rPr>
        <w:t xml:space="preserve"> обеспечения информационной безопасности</w:t>
      </w:r>
      <w:r>
        <w:rPr>
          <w:rFonts w:ascii="Times New Roman" w:hAnsi="Times New Roman" w:cs="Times New Roman"/>
          <w:sz w:val="28"/>
          <w:szCs w:val="28"/>
        </w:rPr>
        <w:t xml:space="preserve"> </w:t>
      </w:r>
      <w:r>
        <w:rPr>
          <w:rFonts w:ascii="Times New Roman" w:hAnsi="Times New Roman" w:cs="Times New Roman"/>
          <w:sz w:val="28"/>
          <w:szCs w:val="28"/>
        </w:rPr>
        <w:t xml:space="preserve">Системы</w:t>
      </w:r>
      <w:r>
        <w:rPr>
          <w:rFonts w:ascii="Times New Roman" w:hAnsi="Times New Roman" w:cs="Times New Roman"/>
          <w:sz w:val="28"/>
          <w:szCs w:val="28"/>
        </w:rPr>
        <w:t xml:space="preserve"> обеспечения безопасности информации</w:t>
      </w:r>
      <w:r>
        <w:rPr>
          <w:rFonts w:ascii="Times New Roman" w:hAnsi="Times New Roman" w:cs="Times New Roman"/>
          <w:sz w:val="28"/>
          <w:szCs w:val="28"/>
        </w:rPr>
        <w:t xml:space="preserve"> (</w:t>
      </w:r>
      <w:r>
        <w:rPr>
          <w:rFonts w:ascii="Times New Roman" w:hAnsi="Times New Roman" w:cs="Times New Roman"/>
          <w:sz w:val="28"/>
          <w:szCs w:val="28"/>
        </w:rPr>
        <w:t xml:space="preserve">ПОИБ СОБИ</w:t>
      </w:r>
      <w:r>
        <w:rPr>
          <w:rFonts w:ascii="Times New Roman" w:hAnsi="Times New Roman" w:cs="Times New Roman"/>
          <w:sz w:val="28"/>
          <w:szCs w:val="28"/>
        </w:rPr>
        <w:t xml:space="preserve">). </w:t>
      </w:r>
      <w:r>
        <w:rPr>
          <w:rFonts w:ascii="Times New Roman" w:hAnsi="Times New Roman" w:cs="Times New Roman"/>
          <w:sz w:val="28"/>
          <w:szCs w:val="28"/>
        </w:rPr>
        <w:t xml:space="preserve">Проведено более 5000 консультаций организаций по вопросам функционирования ГИС Федерального казначейства (ГИИС «Электронный бюджет», ГИС ГМП, ЕИС и т.д.).</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По состоянию на 1 января 2026 г. рейтинг взаимодействия участников регионального и муниципального уровня с ГИС ГМП, рассчитанный по действующей в 2025 году методике, составил 73,83%.</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Управлением обеспечено направление на регулярной основе в Министерство информационных технологий, связи и цифрового развития Челябинской области информации для ра</w:t>
      </w:r>
      <w:r>
        <w:rPr>
          <w:rFonts w:ascii="Times New Roman" w:hAnsi="Times New Roman" w:cs="Times New Roman"/>
          <w:sz w:val="28"/>
          <w:szCs w:val="28"/>
        </w:rPr>
        <w:t xml:space="preserve">счета рейтинга взаимодействия с</w:t>
      </w:r>
      <w:r>
        <w:rPr>
          <w:rFonts w:ascii="Times New Roman" w:hAnsi="Times New Roman" w:cs="Times New Roman"/>
          <w:sz w:val="28"/>
          <w:szCs w:val="28"/>
        </w:rPr>
        <w:br/>
      </w:r>
      <w:r>
        <w:rPr>
          <w:rFonts w:ascii="Times New Roman" w:hAnsi="Times New Roman" w:cs="Times New Roman"/>
          <w:sz w:val="28"/>
          <w:szCs w:val="28"/>
        </w:rPr>
        <w:t xml:space="preserve">ГИС ГМП главных администраторов начислений/администраторов начислений регионального и муниципального уровня.</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целях реализации прав граждан и организаций на получение информации обо всех своих обязатель</w:t>
      </w:r>
      <w:r>
        <w:rPr>
          <w:rFonts w:ascii="Times New Roman" w:hAnsi="Times New Roman" w:cs="Times New Roman"/>
          <w:sz w:val="28"/>
          <w:szCs w:val="28"/>
        </w:rPr>
        <w:t xml:space="preserve">ствах перед бюджетами по принципу «одного окна» и прав на получение платных государственных и муниципальных услуг без предоставления документов, подтверждающих их оплату, Управлением в 2025 году выгружено и направлено оператору ГИС ГМП 3,77 млн. извещений.</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Для осуществления электронного документооборота между Управлением и его клиентами посредством информационных систем, а также для обеспечения иных организаций квалифицированными сертификатами ключей проверки электронной подписи (далее – сертифика</w:t>
      </w:r>
      <w:r>
        <w:rPr>
          <w:rFonts w:ascii="Times New Roman" w:hAnsi="Times New Roman" w:cs="Times New Roman"/>
          <w:sz w:val="28"/>
          <w:szCs w:val="28"/>
        </w:rPr>
        <w:t xml:space="preserve">ты) Управлением было обработано</w:t>
      </w:r>
      <w:r>
        <w:rPr>
          <w:rFonts w:ascii="Times New Roman" w:hAnsi="Times New Roman" w:cs="Times New Roman"/>
          <w:sz w:val="28"/>
          <w:szCs w:val="28"/>
        </w:rPr>
        <w:br/>
      </w:r>
      <w:r>
        <w:rPr>
          <w:rFonts w:ascii="Times New Roman" w:hAnsi="Times New Roman" w:cs="Times New Roman"/>
          <w:sz w:val="28"/>
          <w:szCs w:val="28"/>
        </w:rPr>
        <w:t xml:space="preserve">67,7 тыс. запросов на создание и изменение статуса сертификатов, из них: подтверждено 46,3 тыс. запросов на создание и 8,3 тыс. на изменение статуса, </w:t>
      </w:r>
      <w:r>
        <w:rPr>
          <w:rFonts w:ascii="Times New Roman" w:hAnsi="Times New Roman" w:cs="Times New Roman"/>
          <w:sz w:val="28"/>
          <w:szCs w:val="28"/>
        </w:rPr>
        <w:t xml:space="preserve">отклонено 12,9 тыс. запросов на создание и 0,3 тыс. запросов на изменение статуса.</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Управлением продолжена эксплуатация программного обеспечения «Автоматизация органа криптографиче</w:t>
      </w:r>
      <w:r>
        <w:rPr>
          <w:rFonts w:ascii="Times New Roman" w:hAnsi="Times New Roman" w:cs="Times New Roman"/>
          <w:sz w:val="28"/>
          <w:szCs w:val="28"/>
        </w:rPr>
        <w:t xml:space="preserve">ской защиты информации» (далее – АОКЗ), которое позволяет вести деятельность органа криптографической защиты информации, не содержащей сведений, составляющих государственную тайну, учет средств криптографической защиты информации (далее – СКЗИ), эксплуатац</w:t>
      </w:r>
      <w:r>
        <w:rPr>
          <w:rFonts w:ascii="Times New Roman" w:hAnsi="Times New Roman" w:cs="Times New Roman"/>
          <w:sz w:val="28"/>
          <w:szCs w:val="28"/>
        </w:rPr>
        <w:t xml:space="preserve">ионной и технической документации к ним в электронном виде. Посредством сервиса распространения дистрибутивов АОКЗ, позволяющему клиентам получать СКЗИ, эксплуатационную и техническую документацию к ним удаленно, было передано клиентам 220 экземпляров СКЗИ</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С целью развития государственных информационных систем Управление приняло участие в опытной эксплуатац</w:t>
      </w:r>
      <w:r>
        <w:rPr>
          <w:rFonts w:ascii="Times New Roman" w:hAnsi="Times New Roman" w:cs="Times New Roman"/>
          <w:sz w:val="28"/>
          <w:szCs w:val="28"/>
        </w:rPr>
        <w:t xml:space="preserve">ии подсистемы управления нефинансовыми активами ГИИС «Электронный бюджет» в части доработки механизмов интеграционного взаимодействия с федеральной государственной информационно-аналитической системой «Единая система управления государственным имуществом».</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С целью перехода на импортозамещенные программные продукты</w:t>
      </w:r>
      <w:r>
        <w:rPr>
          <w:rFonts w:ascii="Times New Roman" w:hAnsi="Times New Roman" w:cs="Times New Roman"/>
          <w:sz w:val="28"/>
          <w:szCs w:val="28"/>
        </w:rPr>
        <w:br/>
      </w:r>
      <w:r>
        <w:rPr>
          <w:rFonts w:ascii="Times New Roman" w:hAnsi="Times New Roman" w:cs="Times New Roman"/>
          <w:sz w:val="28"/>
          <w:szCs w:val="28"/>
        </w:rPr>
        <w:t xml:space="preserve">в 2025 году:</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обеспечено подключение администраторов доходов бюджетов, финансовых органов муниципальных образований к личному кабинету ГИИС «Электронный бюджет», ознакомление </w:t>
      </w:r>
      <w:r>
        <w:rPr>
          <w:rFonts w:ascii="Times New Roman" w:hAnsi="Times New Roman" w:cs="Times New Roman"/>
          <w:sz w:val="28"/>
          <w:szCs w:val="28"/>
        </w:rPr>
        <w:t xml:space="preserve">с обучающими материалами по работе в подсистеме управления доходами; выполнена миграция данных аналитического и казначейского учета неналоговых средств, поступивших в бюджеты бюджетной системы Российской Федерации, из АСФК в подсистему управления доходами;</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выполнена миграция данных средств федерального бюджета на импортозамещенное технологическое решение (SVAP) в ГИИС «Электронный бюджет». </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рамках реализации мероприятий по централизации Автоматизированной системы документооборота Федерального казначейства Управлением осуществлен переход из ППО АСД «Landocs» в еди</w:t>
      </w:r>
      <w:r>
        <w:rPr>
          <w:rFonts w:ascii="Times New Roman" w:hAnsi="Times New Roman" w:cs="Times New Roman"/>
          <w:sz w:val="28"/>
          <w:szCs w:val="28"/>
        </w:rPr>
        <w:t xml:space="preserve">ное информационное пространство</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871"/>
        <w:contextualSpacing/>
        <w:jc w:val="both"/>
        <w:spacing w:before="0" w:line="240" w:lineRule="auto"/>
        <w:rPr>
          <w:rFonts w:ascii="Times New Roman" w:hAnsi="Times New Roman" w:cs="Times New Roman"/>
          <w:b/>
          <w:color w:val="auto"/>
          <w:sz w:val="28"/>
          <w:szCs w:val="28"/>
        </w:rPr>
      </w:pPr>
      <w:r/>
      <w:bookmarkStart w:id="22" w:name="_Toc22"/>
      <w:r>
        <w:rPr>
          <w:rFonts w:hint="default" w:ascii="Times New Roman" w:hAnsi="Times New Roman" w:eastAsia="Times New Roman" w:cs="Times New Roman"/>
          <w:b/>
          <w:color w:val="auto"/>
          <w:sz w:val="28"/>
          <w:szCs w:val="28"/>
        </w:rPr>
        <w:t xml:space="preserve">V</w:t>
      </w:r>
      <w:r>
        <w:rPr>
          <w:rFonts w:hint="default" w:ascii="Times New Roman" w:hAnsi="Times New Roman" w:eastAsia="Times New Roman" w:cs="Times New Roman"/>
          <w:b/>
          <w:color w:val="auto"/>
          <w:sz w:val="28"/>
          <w:szCs w:val="28"/>
        </w:rPr>
        <w:t xml:space="preserve">I</w:t>
      </w:r>
      <w:r>
        <w:rPr>
          <w:rFonts w:ascii="Times New Roman" w:hAnsi="Times New Roman" w:eastAsia="Times New Roman" w:cs="Times New Roman"/>
          <w:b/>
          <w:color w:val="auto"/>
          <w:sz w:val="28"/>
          <w:szCs w:val="28"/>
        </w:rPr>
        <w:t xml:space="preserve">. </w:t>
      </w:r>
      <w:r>
        <w:rPr>
          <w:rFonts w:ascii="Times New Roman" w:hAnsi="Times New Roman" w:cs="Times New Roman"/>
          <w:b/>
          <w:color w:val="auto"/>
          <w:sz w:val="28"/>
          <w:szCs w:val="28"/>
        </w:rPr>
        <w:t xml:space="preserve">Иная деятельность Управления</w:t>
      </w:r>
      <w:r>
        <w:rPr>
          <w:rFonts w:ascii="Times New Roman" w:hAnsi="Times New Roman" w:cs="Times New Roman"/>
          <w:b/>
          <w:color w:val="auto"/>
          <w:sz w:val="28"/>
          <w:szCs w:val="28"/>
        </w:rPr>
      </w:r>
      <w:bookmarkEnd w:id="22"/>
      <w:r>
        <w:rPr>
          <w:rFonts w:ascii="Times New Roman" w:hAnsi="Times New Roman" w:cs="Times New Roman"/>
          <w:b/>
          <w:color w:val="auto"/>
          <w:sz w:val="28"/>
          <w:szCs w:val="28"/>
        </w:rPr>
      </w:r>
      <w:r>
        <w:rPr>
          <w:rFonts w:ascii="Times New Roman" w:hAnsi="Times New Roman" w:cs="Times New Roman"/>
          <w:b/>
          <w:color w:val="auto"/>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С целью оптимизации бизнес-процесса исполнения бюджета Союзного государства, обеспечения централизованного ведения лицевых с</w:t>
      </w:r>
      <w:r>
        <w:rPr>
          <w:rFonts w:ascii="Times New Roman" w:hAnsi="Times New Roman" w:cs="Times New Roman"/>
          <w:sz w:val="28"/>
          <w:szCs w:val="28"/>
        </w:rPr>
        <w:t xml:space="preserve">четов участников бюджетного процесса и формирования отчетности об исполнении бюджета Союзного государства в Управлении проведены мероприятия по централизации операций по исполнению бюджета Союзного государства на уровне Межрегионального операционного управ</w:t>
      </w:r>
      <w:r>
        <w:rPr>
          <w:rFonts w:ascii="Times New Roman" w:hAnsi="Times New Roman" w:cs="Times New Roman"/>
          <w:sz w:val="28"/>
          <w:szCs w:val="28"/>
        </w:rPr>
        <w:t xml:space="preserve">ления Федерального казначейства</w:t>
      </w:r>
      <w:r>
        <w:rPr>
          <w:rFonts w:ascii="Times New Roman" w:hAnsi="Times New Roman" w:cs="Times New Roman"/>
          <w:sz w:val="28"/>
          <w:szCs w:val="28"/>
        </w:rPr>
        <w:br/>
      </w:r>
      <w:r>
        <w:rPr>
          <w:rFonts w:ascii="Times New Roman" w:hAnsi="Times New Roman" w:cs="Times New Roman"/>
          <w:sz w:val="28"/>
          <w:szCs w:val="28"/>
        </w:rPr>
        <w:t xml:space="preserve">с 01.03.2025.</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С 01.09.2025 в Управлении </w:t>
      </w:r>
      <w:r>
        <w:rPr>
          <w:rFonts w:ascii="Times New Roman" w:hAnsi="Times New Roman" w:cs="Times New Roman"/>
          <w:sz w:val="28"/>
          <w:szCs w:val="28"/>
        </w:rPr>
        <w:t xml:space="preserve">по О</w:t>
      </w:r>
      <w:r>
        <w:rPr>
          <w:rFonts w:ascii="Times New Roman" w:hAnsi="Times New Roman" w:cs="Times New Roman"/>
          <w:sz w:val="28"/>
          <w:szCs w:val="28"/>
        </w:rPr>
        <w:t xml:space="preserve">тдельн</w:t>
      </w:r>
      <w:r>
        <w:rPr>
          <w:rFonts w:ascii="Times New Roman" w:hAnsi="Times New Roman" w:cs="Times New Roman"/>
          <w:sz w:val="28"/>
          <w:szCs w:val="28"/>
        </w:rPr>
        <w:t xml:space="preserve">ому</w:t>
      </w:r>
      <w:r>
        <w:rPr>
          <w:rFonts w:ascii="Times New Roman" w:hAnsi="Times New Roman" w:cs="Times New Roman"/>
          <w:sz w:val="28"/>
          <w:szCs w:val="28"/>
        </w:rPr>
        <w:t xml:space="preserve"> казначейск</w:t>
      </w:r>
      <w:r>
        <w:rPr>
          <w:rFonts w:ascii="Times New Roman" w:hAnsi="Times New Roman" w:cs="Times New Roman"/>
          <w:sz w:val="28"/>
          <w:szCs w:val="28"/>
        </w:rPr>
        <w:t xml:space="preserve">ому</w:t>
      </w:r>
      <w:r>
        <w:rPr>
          <w:rFonts w:ascii="Times New Roman" w:hAnsi="Times New Roman" w:cs="Times New Roman"/>
          <w:sz w:val="28"/>
          <w:szCs w:val="28"/>
        </w:rPr>
        <w:t xml:space="preserve"> счет</w:t>
      </w:r>
      <w:r>
        <w:rPr>
          <w:rFonts w:ascii="Times New Roman" w:hAnsi="Times New Roman" w:cs="Times New Roman"/>
          <w:sz w:val="28"/>
          <w:szCs w:val="28"/>
        </w:rPr>
        <w:t xml:space="preserve">у № 03211 «Средства федерального бюджета»</w:t>
      </w:r>
      <w:r>
        <w:rPr>
          <w:rFonts w:ascii="Times New Roman" w:hAnsi="Times New Roman" w:cs="Times New Roman"/>
          <w:sz w:val="28"/>
          <w:szCs w:val="28"/>
        </w:rPr>
        <w:t xml:space="preserve"> внедрен механизм функционирования Платежных центров на базе ГИИС</w:t>
      </w:r>
      <w:r>
        <w:rPr>
          <w:rFonts w:ascii="Times New Roman" w:hAnsi="Times New Roman" w:cs="Times New Roman"/>
          <w:sz w:val="28"/>
          <w:szCs w:val="28"/>
        </w:rPr>
        <w:t xml:space="preserve"> «Электронный бюджет». Осуществление функций по исполнению распоряжений о совершении казначейских платежей, составлению и представлению в Центральный банк Российской Федерации распоряжений о переводе денежных средств, взаимодействию с операторами услуг п</w:t>
      </w:r>
      <w:r>
        <w:rPr>
          <w:rFonts w:ascii="Times New Roman" w:hAnsi="Times New Roman" w:cs="Times New Roman"/>
          <w:sz w:val="28"/>
          <w:szCs w:val="28"/>
        </w:rPr>
        <w:t xml:space="preserve">латежной инфраструктуры платежных систем при осуществлении операций со средствами федерального бюджета, отраженными на лицевых счетах, открытых в Управлении, осуществляется Платежным центром - Управлением Федерального казначейства по Новосибирской области.</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С 18.09.2025 в Управлении внедрена технология</w:t>
      </w:r>
      <w:r>
        <w:rPr>
          <w:rFonts w:ascii="Times New Roman" w:hAnsi="Times New Roman" w:cs="Times New Roman"/>
          <w:sz w:val="28"/>
          <w:szCs w:val="28"/>
        </w:rPr>
        <w:t xml:space="preserve"> риск-ориентированного санкционирования и осуществлен переход на автоматизированное санкционирование органами Федерального казначейства низкорискоемких операций со средствами, поступающими во временное распоряжение получателей средств федерального бюджета.</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На протяжении всего прошедшего года Управлением велась консультационная работа среди клиентов Управления и иных организаций по вопросам, возникающим в процессе: открытия, переоформления, закрытия и обслуживания лицевых счетов; размещения орга</w:t>
      </w:r>
      <w:r>
        <w:rPr>
          <w:rFonts w:ascii="Times New Roman" w:hAnsi="Times New Roman" w:cs="Times New Roman"/>
          <w:sz w:val="28"/>
          <w:szCs w:val="28"/>
        </w:rPr>
        <w:t xml:space="preserve">нами государственной власти Челябинской области и органами местного самоуправления Челябинской области информации в ГАС «Управление», размещения информации финансовыми органами Челябинской области, муни</w:t>
      </w:r>
      <w:r>
        <w:rPr>
          <w:rFonts w:ascii="Times New Roman" w:hAnsi="Times New Roman" w:cs="Times New Roman"/>
          <w:sz w:val="28"/>
          <w:szCs w:val="28"/>
        </w:rPr>
        <w:t xml:space="preserve">ципальных образований Челябинской области и органами управления территориальными государственными внебюджетными фондами на едином портале бюджетной системы Российской Федерации; использования возможностей информационных систем, оператором которых является </w:t>
      </w:r>
      <w:r>
        <w:rPr>
          <w:rFonts w:ascii="Times New Roman" w:hAnsi="Times New Roman" w:cs="Times New Roman"/>
          <w:sz w:val="28"/>
          <w:szCs w:val="28"/>
        </w:rPr>
        <w:t xml:space="preserve">Федеральное казначейство. В 2025</w:t>
      </w:r>
      <w:r>
        <w:rPr>
          <w:rFonts w:ascii="Times New Roman" w:hAnsi="Times New Roman" w:cs="Times New Roman"/>
          <w:sz w:val="28"/>
          <w:szCs w:val="28"/>
        </w:rPr>
        <w:t xml:space="preserve"> году была продолжена работа по взаимодействию с финансовыми органами Челябинской области с целью своевременного открытия, изменения, закрытия казначейских счетов, оказывалась всесторонняя информационная поддержка.</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соответствии с Федеральным законом от 21 ноября 2011 г. № 324-ФЗ</w:t>
      </w:r>
      <w:r>
        <w:rPr>
          <w:rFonts w:ascii="Times New Roman" w:hAnsi="Times New Roman" w:cs="Times New Roman"/>
          <w:sz w:val="28"/>
          <w:szCs w:val="28"/>
        </w:rPr>
        <w:br/>
        <w:t xml:space="preserve">«О бесплатной юридической помощи в Российской</w:t>
      </w:r>
      <w:r>
        <w:rPr>
          <w:rFonts w:ascii="Times New Roman" w:hAnsi="Times New Roman" w:cs="Times New Roman"/>
          <w:sz w:val="28"/>
          <w:szCs w:val="28"/>
        </w:rPr>
        <w:t xml:space="preserve"> Федерации», регламентирующим условия получения бесплатной юридической помощи для малоимущих и иных социально незащищенных категорий граждан, Управлением, как территориальным органом федеральной исполнительной власти, входящим в государственную систему бес</w:t>
      </w:r>
      <w:r>
        <w:rPr>
          <w:rFonts w:ascii="Times New Roman" w:hAnsi="Times New Roman" w:cs="Times New Roman"/>
          <w:sz w:val="28"/>
          <w:szCs w:val="28"/>
        </w:rPr>
        <w:t xml:space="preserve">платной юридической помощи, оказывалась бесплатная юридическая помощь по вопросам, относящимся к компетенции Федерального казначейства, установленным постановлением Правительства Российской Федерации от 1 декабря 2004 г. № 703 «О Федеральном казначействе».</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2025 году Управление в 245 судебных делах представляло свои интересы, интересы Министерства финансов Российской Федерации, Федерального </w:t>
      </w:r>
      <w:r>
        <w:rPr>
          <w:rFonts w:ascii="Times New Roman" w:hAnsi="Times New Roman" w:cs="Times New Roman"/>
          <w:sz w:val="28"/>
          <w:szCs w:val="28"/>
        </w:rPr>
        <w:t xml:space="preserve">казначейства на основании предоставленных полномочий. Из 1,078 тыс. назначенных судебных засе</w:t>
      </w:r>
      <w:r>
        <w:rPr>
          <w:rFonts w:ascii="Times New Roman" w:hAnsi="Times New Roman" w:cs="Times New Roman"/>
          <w:sz w:val="28"/>
          <w:szCs w:val="28"/>
        </w:rPr>
        <w:t xml:space="preserve">даний с фактическим участием сотрудников Управления прошло 397 заседаний. Кроме того, подготовлено и направлено в суды различных инстанций 532 процессуальных документа, определяющих правовою позицию Управления и представляемых им органов по судебным делам.</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Для решения поставленных задач в установленной сфере деятельности Управлением в 2025 году в рамках действующих нормативных правовых актов и в соответствии с утвержденным Планом была проведена правовая экспертиза </w:t>
      </w:r>
      <w:r>
        <w:rPr>
          <w:rFonts w:ascii="Times New Roman" w:hAnsi="Times New Roman" w:cs="Times New Roman"/>
          <w:sz w:val="28"/>
          <w:szCs w:val="28"/>
        </w:rPr>
        <w:t xml:space="preserve">4,207 тыс. шт. проектов</w:t>
      </w:r>
      <w:r>
        <w:rPr>
          <w:rFonts w:ascii="Times New Roman" w:hAnsi="Times New Roman" w:cs="Times New Roman"/>
          <w:sz w:val="28"/>
          <w:szCs w:val="28"/>
        </w:rPr>
        <w:t xml:space="preserve"> документов, из них:</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1,117 </w:t>
      </w:r>
      <w:r>
        <w:rPr>
          <w:rFonts w:ascii="Times New Roman" w:hAnsi="Times New Roman" w:cs="Times New Roman"/>
          <w:sz w:val="28"/>
          <w:szCs w:val="28"/>
        </w:rPr>
        <w:t xml:space="preserve">тыс. шт. проектов локальных актов Управления;</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1,606 </w:t>
      </w:r>
      <w:r>
        <w:rPr>
          <w:rFonts w:ascii="Times New Roman" w:hAnsi="Times New Roman" w:cs="Times New Roman"/>
          <w:sz w:val="28"/>
          <w:szCs w:val="28"/>
        </w:rPr>
        <w:t xml:space="preserve">тыс. шт. проектов иных документов, в том числе, писем, направляемых в Министерство финансов Российской Федерации, Федеральное казначейство, в органы государственной </w:t>
      </w:r>
      <w:r>
        <w:rPr>
          <w:rFonts w:ascii="Times New Roman" w:hAnsi="Times New Roman" w:cs="Times New Roman"/>
          <w:sz w:val="28"/>
          <w:szCs w:val="28"/>
        </w:rPr>
        <w:t xml:space="preserve">власти (государственные органы) Российской Федерации (в части поступивших и рассматриваемых в Управлении документов) и их территориальные органы, расположенные на территории субъекта Российской Федерации, в органы государственной власти (государственные ор</w:t>
      </w:r>
      <w:r>
        <w:rPr>
          <w:rFonts w:ascii="Times New Roman" w:hAnsi="Times New Roman" w:cs="Times New Roman"/>
          <w:sz w:val="28"/>
          <w:szCs w:val="28"/>
        </w:rPr>
        <w:t xml:space="preserve">ганы) субъекта Российской Федерации, органы местного самоуправления (муниципальные органы) субъекта Российской Федерации, а также в адрес иных организаций и граждан, содержащих разъяснения по вопросам правового характера, входящим в компетенцию Управления;</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- 0,00</w:t>
      </w:r>
      <w:r>
        <w:rPr>
          <w:rFonts w:ascii="Times New Roman" w:hAnsi="Times New Roman" w:cs="Times New Roman"/>
          <w:sz w:val="28"/>
          <w:szCs w:val="28"/>
        </w:rPr>
        <w:t xml:space="preserve">5 тыс. </w:t>
      </w:r>
      <w:r>
        <w:rPr>
          <w:rFonts w:ascii="Times New Roman" w:hAnsi="Times New Roman" w:cs="Times New Roman"/>
          <w:sz w:val="28"/>
          <w:szCs w:val="28"/>
        </w:rPr>
        <w:t xml:space="preserve">шт. проектов договоров и соглашений, заключаемых Управлением;</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1,439 </w:t>
      </w:r>
      <w:r>
        <w:rPr>
          <w:rFonts w:ascii="Times New Roman" w:hAnsi="Times New Roman" w:cs="Times New Roman"/>
          <w:sz w:val="28"/>
          <w:szCs w:val="28"/>
        </w:rPr>
        <w:t xml:space="preserve">тыс. шт. исполнительных документов, поступивших на испол</w:t>
      </w:r>
      <w:r>
        <w:rPr>
          <w:rFonts w:ascii="Times New Roman" w:hAnsi="Times New Roman" w:cs="Times New Roman"/>
          <w:sz w:val="28"/>
          <w:szCs w:val="28"/>
        </w:rPr>
        <w:t xml:space="preserve">нение, документов, отменяющих, приостанавливающих исполнение судебного акта, документов об отсрочке, о рассрочке или об отложении исполнения судебных актов, документов, возобновляющих исполнение судебных актов, а также иных документов, связанных с организа</w:t>
      </w:r>
      <w:r>
        <w:rPr>
          <w:rFonts w:ascii="Times New Roman" w:hAnsi="Times New Roman" w:cs="Times New Roman"/>
          <w:sz w:val="28"/>
          <w:szCs w:val="28"/>
        </w:rPr>
        <w:t xml:space="preserve">цией исполнения судебных актов;</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- 0,040 тыс. </w:t>
      </w:r>
      <w:r>
        <w:rPr>
          <w:rFonts w:ascii="Times New Roman" w:hAnsi="Times New Roman" w:cs="Times New Roman"/>
          <w:sz w:val="28"/>
          <w:szCs w:val="28"/>
        </w:rPr>
        <w:t xml:space="preserve">шт. решений налоговых органов о взыскании налога, сбора, страховых взносов, пеней, штрафов, процентов, а также иных документов, связанных с организацией испол</w:t>
      </w:r>
      <w:r>
        <w:rPr>
          <w:rFonts w:ascii="Times New Roman" w:hAnsi="Times New Roman" w:cs="Times New Roman"/>
          <w:sz w:val="28"/>
          <w:szCs w:val="28"/>
        </w:rPr>
        <w:t xml:space="preserve">нения решений налоговых органов.</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рамках производства по делам об административных правонарушениях подготовлено 16 шт. проекто</w:t>
      </w:r>
      <w:r>
        <w:rPr>
          <w:rFonts w:ascii="Times New Roman" w:hAnsi="Times New Roman" w:cs="Times New Roman"/>
          <w:sz w:val="28"/>
          <w:szCs w:val="28"/>
        </w:rPr>
        <w:t xml:space="preserve">в процессуальных документо</w:t>
      </w:r>
      <w:r>
        <w:rPr>
          <w:rFonts w:ascii="Times New Roman" w:hAnsi="Times New Roman" w:cs="Times New Roman"/>
          <w:sz w:val="28"/>
          <w:szCs w:val="28"/>
        </w:rPr>
        <w:t xml:space="preserve">в</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Управлением в рамках заключенных соглашений осуществлялся обмен информацией с Прокуратурой Челябинской области, Главным упра</w:t>
      </w:r>
      <w:r>
        <w:rPr>
          <w:rFonts w:ascii="Times New Roman" w:hAnsi="Times New Roman" w:cs="Times New Roman"/>
          <w:sz w:val="28"/>
          <w:szCs w:val="28"/>
        </w:rPr>
        <w:t xml:space="preserve">влением Министерства внутренних дел Российской Федерации по Челябинской области, Управлением Федеральной службы судебных приставов по Челябинской области, Главным контрольным управлением Челябинской области, Контрольно-счетной палатой Челябинской области и</w:t>
      </w:r>
      <w:r>
        <w:rPr>
          <w:rFonts w:ascii="Times New Roman" w:hAnsi="Times New Roman" w:cs="Times New Roman"/>
          <w:sz w:val="28"/>
          <w:szCs w:val="28"/>
        </w:rPr>
        <w:t xml:space="preserve"> контрольно-счетными органами муниципальных образований Челябинской области по вопросам казначейского обслуживания, осуществления функций по контролю и надзору за соблюдением бюджетного законодательства, рассмотрения обращений граждан Российской Федерации.</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В</w:t>
      </w:r>
      <w:r>
        <w:rPr>
          <w:rFonts w:ascii="Times New Roman" w:hAnsi="Times New Roman"/>
          <w:sz w:val="28"/>
          <w:szCs w:val="28"/>
          <w:lang w:eastAsia="ru-RU"/>
        </w:rPr>
        <w:t xml:space="preserve"> 2025 году</w:t>
      </w:r>
      <w:r>
        <w:rPr>
          <w:rFonts w:ascii="Times New Roman" w:hAnsi="Times New Roman"/>
          <w:sz w:val="28"/>
          <w:szCs w:val="28"/>
          <w:lang w:eastAsia="ru-RU"/>
        </w:rPr>
        <w:t xml:space="preserve"> </w:t>
      </w:r>
      <w:r>
        <w:rPr>
          <w:rFonts w:ascii="Times New Roman" w:hAnsi="Times New Roman"/>
          <w:sz w:val="28"/>
          <w:szCs w:val="28"/>
          <w:lang w:eastAsia="ru-RU"/>
        </w:rPr>
        <w:t xml:space="preserve">Федеральным казначейством</w:t>
      </w:r>
      <w:r>
        <w:rPr>
          <w:rFonts w:ascii="Times New Roman" w:hAnsi="Times New Roman"/>
          <w:sz w:val="28"/>
          <w:szCs w:val="28"/>
          <w:lang w:eastAsia="ru-RU"/>
        </w:rPr>
        <w:t xml:space="preserve"> была</w:t>
      </w:r>
      <w:r>
        <w:rPr>
          <w:rFonts w:ascii="Times New Roman" w:hAnsi="Times New Roman"/>
          <w:sz w:val="28"/>
          <w:szCs w:val="28"/>
          <w:lang w:eastAsia="ru-RU"/>
        </w:rPr>
        <w:t xml:space="preserve"> проведена плановая комплексная камеральная проверка деятельности Управления по вопросам выполнения отдельных полномочий за период с 2023 по 2024 годы и текущий период 2025 года выборочным способом. По результатам рассмотрения </w:t>
      </w:r>
      <w:r>
        <w:rPr>
          <w:rFonts w:ascii="Times New Roman" w:hAnsi="Times New Roman"/>
          <w:sz w:val="28"/>
          <w:szCs w:val="28"/>
          <w:lang w:eastAsia="ru-RU"/>
        </w:rPr>
        <w:t xml:space="preserve">Федеральным казначейством итогов</w:t>
      </w:r>
      <w:r>
        <w:rPr>
          <w:rFonts w:ascii="Times New Roman" w:hAnsi="Times New Roman"/>
          <w:sz w:val="28"/>
          <w:szCs w:val="28"/>
          <w:lang w:eastAsia="ru-RU"/>
        </w:rPr>
        <w:t xml:space="preserve"> проверки установлены нарушения</w:t>
      </w:r>
      <w:r>
        <w:rPr>
          <w:rFonts w:ascii="Times New Roman" w:hAnsi="Times New Roman"/>
          <w:sz w:val="28"/>
          <w:szCs w:val="28"/>
          <w:lang w:eastAsia="ru-RU"/>
        </w:rPr>
        <w:br/>
      </w:r>
      <w:r>
        <w:rPr>
          <w:rFonts w:ascii="Times New Roman" w:hAnsi="Times New Roman"/>
          <w:sz w:val="28"/>
          <w:szCs w:val="28"/>
          <w:lang w:eastAsia="ru-RU"/>
        </w:rPr>
        <w:t xml:space="preserve">по 18 документам и недостатки по 10 документам.</w:t>
      </w:r>
      <w:r>
        <w:rPr>
          <w:rFonts w:ascii="Times New Roman" w:hAnsi="Times New Roman"/>
          <w:sz w:val="28"/>
          <w:szCs w:val="28"/>
          <w:lang w:eastAsia="ru-RU"/>
        </w:rPr>
      </w:r>
      <w:r>
        <w:rPr>
          <w:rFonts w:ascii="Times New Roman" w:hAnsi="Times New Roman"/>
          <w:sz w:val="28"/>
          <w:szCs w:val="28"/>
          <w:lang w:eastAsia="ru-RU"/>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Действующая система внутреннего контроля и внутреннего аудита позволяла осуществлять </w:t>
      </w:r>
      <w:r>
        <w:rPr>
          <w:rFonts w:ascii="Times New Roman" w:hAnsi="Times New Roman" w:cs="Times New Roman"/>
          <w:sz w:val="28"/>
          <w:szCs w:val="28"/>
        </w:rPr>
        <w:t xml:space="preserve">Управлению в 2025 году контроль, как в отношении деятельности каждого сотрудника, так и в отношении деятельности отделов Управления, в предварительной и последующей форме, сплошным или выборочным способом, с необходимой периодичностью и в плановом порядке.</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Управлением организовано и проведено 5 контрольных мероприятий в отношении деятельности 11 отдело</w:t>
      </w:r>
      <w:r>
        <w:rPr>
          <w:rFonts w:ascii="Times New Roman" w:hAnsi="Times New Roman" w:cs="Times New Roman"/>
          <w:sz w:val="28"/>
          <w:szCs w:val="28"/>
        </w:rPr>
        <w:t xml:space="preserve">в Управления. Результаты проведенных проверок показали, что в большинстве случаев объектами проверок обеспечено соблюдение требований НПА, имели место отдельные нарушения, не носящие систематического характера. Всего установлено нарушений по 86 документам.</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По результатам последующего оперативного внутреннего автоматизированного контроля установлено нарушений по 23 документам.</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Отделами Управления проведена работа по исключению возможности возникновения аналогичных нарушений в дальнейшей деятельности структурных подразделений Управления.</w:t>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течение 2025 года осуществлялся мониторинг, анализ и систематизация результатов внутреннего контроля, осуществляемого в Управлении методами «самоконтроль», «контроль по уровню подч</w:t>
      </w:r>
      <w:r>
        <w:rPr>
          <w:rFonts w:ascii="Times New Roman" w:hAnsi="Times New Roman" w:cs="Times New Roman"/>
          <w:sz w:val="28"/>
          <w:szCs w:val="28"/>
        </w:rPr>
        <w:t xml:space="preserve">иненности» и «смежный контроль»</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sectPr>
      <w:headerReference w:type="default" r:id="rId9"/>
      <w:footnotePr/>
      <w:endnotePr/>
      <w:type w:val="nextPage"/>
      <w:pgSz w:w="11906" w:h="16838" w:orient="portrait"/>
      <w:pgMar w:top="1134" w:right="680" w:bottom="709" w:left="1418" w:header="709" w:footer="709" w:gutter="0"/>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Tahoma">
    <w:panose1 w:val="020B0604030504040204"/>
  </w:font>
  <w:font w:name="Arial">
    <w:panose1 w:val="020B0604020202020204"/>
  </w:font>
  <w:font w:name="Calibri">
    <w:panose1 w:val="020F0502020204030204"/>
  </w:font>
  <w:font w:name="Cambria">
    <w:panose1 w:val="020408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 w:id="2">
    <w:p>
      <w:pPr>
        <w:pStyle w:val="888"/>
        <w:jc w:val="both"/>
        <w:rPr>
          <w:rFonts w:ascii="Times New Roman" w:hAnsi="Times New Roman" w:cs="Times New Roman"/>
        </w:rPr>
      </w:pPr>
      <w:r>
        <w:rPr>
          <w:rStyle w:val="890"/>
          <w:rFonts w:ascii="Times New Roman" w:hAnsi="Times New Roman" w:cs="Times New Roman"/>
        </w:rPr>
        <w:footnoteRef/>
      </w:r>
      <w:r>
        <w:rPr>
          <w:rFonts w:ascii="Times New Roman" w:hAnsi="Times New Roman" w:cs="Times New Roman"/>
        </w:rPr>
        <w:t xml:space="preserve"> ГАБС – главн</w:t>
      </w:r>
      <w:r>
        <w:rPr>
          <w:rFonts w:ascii="Times New Roman" w:hAnsi="Times New Roman" w:cs="Times New Roman"/>
        </w:rPr>
        <w:t xml:space="preserve">ые распорядители средств бюджета Челябинской области и местных бюджетов, главные администраторы доходов бюджета Челябинской области и местных бюджетов, главные администраторы источников финансирования дефицита бюджета Челябинской области и местных бюджетов</w:t>
      </w:r>
      <w:r>
        <w:rPr>
          <w:rFonts w:ascii="Times New Roman" w:hAnsi="Times New Roman" w:cs="Times New Roman"/>
        </w:rPr>
      </w:r>
      <w:r>
        <w:rPr>
          <w:rFonts w:ascii="Times New Roman" w:hAnsi="Times New Roman" w:cs="Times New Roman"/>
        </w:rPr>
      </w:r>
    </w:p>
  </w:footnote>
  <w:footnote w:id="3">
    <w:p>
      <w:pPr>
        <w:pStyle w:val="888"/>
        <w:jc w:val="both"/>
        <w:rPr>
          <w:rFonts w:ascii="Times New Roman" w:hAnsi="Times New Roman" w:cs="Times New Roman"/>
        </w:rPr>
      </w:pPr>
      <w:r>
        <w:rPr>
          <w:rStyle w:val="890"/>
          <w:rFonts w:ascii="Times New Roman" w:hAnsi="Times New Roman" w:cs="Times New Roman"/>
        </w:rPr>
        <w:footnoteRef/>
      </w:r>
      <w:r>
        <w:rPr>
          <w:rFonts w:ascii="Times New Roman" w:hAnsi="Times New Roman" w:cs="Times New Roman"/>
        </w:rPr>
        <w:t xml:space="preserve"> Федеральные стандарты ВФА – федеральные стандарты внутреннего финансового аудита, установленные Министерством финансов Российской Федерации</w:t>
      </w:r>
      <w:r>
        <w:rPr>
          <w:rFonts w:ascii="Times New Roman" w:hAnsi="Times New Roman" w:cs="Times New Roman"/>
        </w:rPr>
      </w:r>
      <w:r>
        <w:rPr>
          <w:rFonts w:ascii="Times New Roman" w:hAnsi="Times New Roman" w:cs="Times New Roman"/>
        </w:rP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869031903"/>
      <w:docPartObj>
        <w:docPartGallery w:val="Page Numbers (Top of Page)"/>
        <w:docPartUnique w:val="true"/>
      </w:docPartObj>
      <w:rPr/>
    </w:sdtPr>
    <w:sdtContent>
      <w:p>
        <w:pPr>
          <w:pStyle w:val="878"/>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rPr>
          <w:t xml:space="preserve">12</w:t>
        </w:r>
        <w:r>
          <w:rPr>
            <w:rFonts w:ascii="Times New Roman" w:hAnsi="Times New Roman" w:cs="Times New Roman"/>
            <w:sz w:val="28"/>
            <w:szCs w:val="28"/>
          </w:rPr>
          <w:fldChar w:fldCharType="end"/>
        </w:r>
        <w:r>
          <w:rPr>
            <w:rFonts w:ascii="Times New Roman" w:hAnsi="Times New Roman" w:cs="Times New Roman"/>
            <w:sz w:val="28"/>
            <w:szCs w:val="28"/>
          </w:rPr>
        </w:r>
        <w:r>
          <w:rPr>
            <w:rFonts w:ascii="Times New Roman" w:hAnsi="Times New Roman" w:cs="Times New Roman"/>
            <w:sz w:val="28"/>
            <w:szCs w:val="28"/>
          </w:rPr>
        </w:r>
      </w:p>
    </w:sdtContent>
  </w:sdt>
  <w:p>
    <w:pPr>
      <w:pStyle w:val="878"/>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1069" w:hanging="360"/>
      </w:pPr>
      <w:rPr>
        <w:rFonts w:hint="default"/>
      </w:r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200" w:afterAutospacing="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707">
    <w:name w:val="Heading 1 Char"/>
    <w:basedOn w:val="873"/>
    <w:link w:val="871"/>
    <w:uiPriority w:val="9"/>
    <w:rPr>
      <w:rFonts w:ascii="Arial" w:hAnsi="Arial" w:eastAsia="Arial" w:cs="Arial"/>
      <w:sz w:val="40"/>
      <w:szCs w:val="40"/>
    </w:rPr>
  </w:style>
  <w:style w:type="character" w:styleId="708">
    <w:name w:val="Heading 2 Char"/>
    <w:basedOn w:val="873"/>
    <w:link w:val="872"/>
    <w:uiPriority w:val="9"/>
    <w:rPr>
      <w:rFonts w:ascii="Arial" w:hAnsi="Arial" w:eastAsia="Arial" w:cs="Arial"/>
      <w:sz w:val="34"/>
    </w:rPr>
  </w:style>
  <w:style w:type="paragraph" w:styleId="709">
    <w:name w:val="Heading 3"/>
    <w:basedOn w:val="870"/>
    <w:next w:val="870"/>
    <w:link w:val="710"/>
    <w:uiPriority w:val="9"/>
    <w:unhideWhenUsed/>
    <w:qFormat/>
    <w:pPr>
      <w:keepLines/>
      <w:keepNext/>
      <w:spacing w:before="320" w:after="200"/>
      <w:outlineLvl w:val="2"/>
    </w:pPr>
    <w:rPr>
      <w:rFonts w:ascii="Arial" w:hAnsi="Arial" w:eastAsia="Arial" w:cs="Arial"/>
      <w:sz w:val="30"/>
      <w:szCs w:val="30"/>
    </w:rPr>
  </w:style>
  <w:style w:type="character" w:styleId="710">
    <w:name w:val="Heading 3 Char"/>
    <w:basedOn w:val="873"/>
    <w:link w:val="709"/>
    <w:uiPriority w:val="9"/>
    <w:rPr>
      <w:rFonts w:ascii="Arial" w:hAnsi="Arial" w:eastAsia="Arial" w:cs="Arial"/>
      <w:sz w:val="30"/>
      <w:szCs w:val="30"/>
    </w:rPr>
  </w:style>
  <w:style w:type="paragraph" w:styleId="711">
    <w:name w:val="Heading 4"/>
    <w:basedOn w:val="870"/>
    <w:next w:val="870"/>
    <w:link w:val="712"/>
    <w:uiPriority w:val="9"/>
    <w:unhideWhenUsed/>
    <w:qFormat/>
    <w:pPr>
      <w:keepLines/>
      <w:keepNext/>
      <w:spacing w:before="320" w:after="200"/>
      <w:outlineLvl w:val="3"/>
    </w:pPr>
    <w:rPr>
      <w:rFonts w:ascii="Arial" w:hAnsi="Arial" w:eastAsia="Arial" w:cs="Arial"/>
      <w:b/>
      <w:bCs/>
      <w:sz w:val="26"/>
      <w:szCs w:val="26"/>
    </w:rPr>
  </w:style>
  <w:style w:type="character" w:styleId="712">
    <w:name w:val="Heading 4 Char"/>
    <w:basedOn w:val="873"/>
    <w:link w:val="711"/>
    <w:uiPriority w:val="9"/>
    <w:rPr>
      <w:rFonts w:ascii="Arial" w:hAnsi="Arial" w:eastAsia="Arial" w:cs="Arial"/>
      <w:b/>
      <w:bCs/>
      <w:sz w:val="26"/>
      <w:szCs w:val="26"/>
    </w:rPr>
  </w:style>
  <w:style w:type="paragraph" w:styleId="713">
    <w:name w:val="Heading 5"/>
    <w:basedOn w:val="870"/>
    <w:next w:val="870"/>
    <w:link w:val="714"/>
    <w:uiPriority w:val="9"/>
    <w:unhideWhenUsed/>
    <w:qFormat/>
    <w:pPr>
      <w:keepLines/>
      <w:keepNext/>
      <w:spacing w:before="320" w:after="200"/>
      <w:outlineLvl w:val="4"/>
    </w:pPr>
    <w:rPr>
      <w:rFonts w:ascii="Arial" w:hAnsi="Arial" w:eastAsia="Arial" w:cs="Arial"/>
      <w:b/>
      <w:bCs/>
      <w:sz w:val="24"/>
      <w:szCs w:val="24"/>
    </w:rPr>
  </w:style>
  <w:style w:type="character" w:styleId="714">
    <w:name w:val="Heading 5 Char"/>
    <w:basedOn w:val="873"/>
    <w:link w:val="713"/>
    <w:uiPriority w:val="9"/>
    <w:rPr>
      <w:rFonts w:ascii="Arial" w:hAnsi="Arial" w:eastAsia="Arial" w:cs="Arial"/>
      <w:b/>
      <w:bCs/>
      <w:sz w:val="24"/>
      <w:szCs w:val="24"/>
    </w:rPr>
  </w:style>
  <w:style w:type="paragraph" w:styleId="715">
    <w:name w:val="Heading 6"/>
    <w:basedOn w:val="870"/>
    <w:next w:val="870"/>
    <w:link w:val="716"/>
    <w:uiPriority w:val="9"/>
    <w:unhideWhenUsed/>
    <w:qFormat/>
    <w:pPr>
      <w:keepLines/>
      <w:keepNext/>
      <w:spacing w:before="320" w:after="200"/>
      <w:outlineLvl w:val="5"/>
    </w:pPr>
    <w:rPr>
      <w:rFonts w:ascii="Arial" w:hAnsi="Arial" w:eastAsia="Arial" w:cs="Arial"/>
      <w:b/>
      <w:bCs/>
      <w:sz w:val="22"/>
      <w:szCs w:val="22"/>
    </w:rPr>
  </w:style>
  <w:style w:type="character" w:styleId="716">
    <w:name w:val="Heading 6 Char"/>
    <w:basedOn w:val="873"/>
    <w:link w:val="715"/>
    <w:uiPriority w:val="9"/>
    <w:rPr>
      <w:rFonts w:ascii="Arial" w:hAnsi="Arial" w:eastAsia="Arial" w:cs="Arial"/>
      <w:b/>
      <w:bCs/>
      <w:sz w:val="22"/>
      <w:szCs w:val="22"/>
    </w:rPr>
  </w:style>
  <w:style w:type="paragraph" w:styleId="717">
    <w:name w:val="Heading 7"/>
    <w:basedOn w:val="870"/>
    <w:next w:val="870"/>
    <w:link w:val="718"/>
    <w:uiPriority w:val="9"/>
    <w:unhideWhenUsed/>
    <w:qFormat/>
    <w:pPr>
      <w:keepLines/>
      <w:keepNext/>
      <w:spacing w:before="320" w:after="200"/>
      <w:outlineLvl w:val="6"/>
    </w:pPr>
    <w:rPr>
      <w:rFonts w:ascii="Arial" w:hAnsi="Arial" w:eastAsia="Arial" w:cs="Arial"/>
      <w:b/>
      <w:bCs/>
      <w:i/>
      <w:iCs/>
      <w:sz w:val="22"/>
      <w:szCs w:val="22"/>
    </w:rPr>
  </w:style>
  <w:style w:type="character" w:styleId="718">
    <w:name w:val="Heading 7 Char"/>
    <w:basedOn w:val="873"/>
    <w:link w:val="717"/>
    <w:uiPriority w:val="9"/>
    <w:rPr>
      <w:rFonts w:ascii="Arial" w:hAnsi="Arial" w:eastAsia="Arial" w:cs="Arial"/>
      <w:b/>
      <w:bCs/>
      <w:i/>
      <w:iCs/>
      <w:sz w:val="22"/>
      <w:szCs w:val="22"/>
    </w:rPr>
  </w:style>
  <w:style w:type="paragraph" w:styleId="719">
    <w:name w:val="Heading 8"/>
    <w:basedOn w:val="870"/>
    <w:next w:val="870"/>
    <w:link w:val="720"/>
    <w:uiPriority w:val="9"/>
    <w:unhideWhenUsed/>
    <w:qFormat/>
    <w:pPr>
      <w:keepLines/>
      <w:keepNext/>
      <w:spacing w:before="320" w:after="200"/>
      <w:outlineLvl w:val="7"/>
    </w:pPr>
    <w:rPr>
      <w:rFonts w:ascii="Arial" w:hAnsi="Arial" w:eastAsia="Arial" w:cs="Arial"/>
      <w:i/>
      <w:iCs/>
      <w:sz w:val="22"/>
      <w:szCs w:val="22"/>
    </w:rPr>
  </w:style>
  <w:style w:type="character" w:styleId="720">
    <w:name w:val="Heading 8 Char"/>
    <w:basedOn w:val="873"/>
    <w:link w:val="719"/>
    <w:uiPriority w:val="9"/>
    <w:rPr>
      <w:rFonts w:ascii="Arial" w:hAnsi="Arial" w:eastAsia="Arial" w:cs="Arial"/>
      <w:i/>
      <w:iCs/>
      <w:sz w:val="22"/>
      <w:szCs w:val="22"/>
    </w:rPr>
  </w:style>
  <w:style w:type="paragraph" w:styleId="721">
    <w:name w:val="Heading 9"/>
    <w:basedOn w:val="870"/>
    <w:next w:val="870"/>
    <w:link w:val="722"/>
    <w:uiPriority w:val="9"/>
    <w:unhideWhenUsed/>
    <w:qFormat/>
    <w:pPr>
      <w:keepLines/>
      <w:keepNext/>
      <w:spacing w:before="320" w:after="200"/>
      <w:outlineLvl w:val="8"/>
    </w:pPr>
    <w:rPr>
      <w:rFonts w:ascii="Arial" w:hAnsi="Arial" w:eastAsia="Arial" w:cs="Arial"/>
      <w:i/>
      <w:iCs/>
      <w:sz w:val="21"/>
      <w:szCs w:val="21"/>
    </w:rPr>
  </w:style>
  <w:style w:type="character" w:styleId="722">
    <w:name w:val="Heading 9 Char"/>
    <w:basedOn w:val="873"/>
    <w:link w:val="721"/>
    <w:uiPriority w:val="9"/>
    <w:rPr>
      <w:rFonts w:ascii="Arial" w:hAnsi="Arial" w:eastAsia="Arial" w:cs="Arial"/>
      <w:i/>
      <w:iCs/>
      <w:sz w:val="21"/>
      <w:szCs w:val="21"/>
    </w:rPr>
  </w:style>
  <w:style w:type="paragraph" w:styleId="723">
    <w:name w:val="No Spacing"/>
    <w:uiPriority w:val="1"/>
    <w:qFormat/>
    <w:pPr>
      <w:spacing w:before="0" w:after="0" w:line="240" w:lineRule="auto"/>
    </w:pPr>
  </w:style>
  <w:style w:type="paragraph" w:styleId="724">
    <w:name w:val="Title"/>
    <w:basedOn w:val="870"/>
    <w:next w:val="870"/>
    <w:link w:val="725"/>
    <w:uiPriority w:val="10"/>
    <w:qFormat/>
    <w:pPr>
      <w:contextualSpacing/>
      <w:spacing w:before="300" w:after="200"/>
    </w:pPr>
    <w:rPr>
      <w:sz w:val="48"/>
      <w:szCs w:val="48"/>
    </w:rPr>
  </w:style>
  <w:style w:type="character" w:styleId="725">
    <w:name w:val="Title Char"/>
    <w:basedOn w:val="873"/>
    <w:link w:val="724"/>
    <w:uiPriority w:val="10"/>
    <w:rPr>
      <w:sz w:val="48"/>
      <w:szCs w:val="48"/>
    </w:rPr>
  </w:style>
  <w:style w:type="paragraph" w:styleId="726">
    <w:name w:val="Subtitle"/>
    <w:basedOn w:val="870"/>
    <w:next w:val="870"/>
    <w:link w:val="727"/>
    <w:uiPriority w:val="11"/>
    <w:qFormat/>
    <w:pPr>
      <w:spacing w:before="200" w:after="200"/>
    </w:pPr>
    <w:rPr>
      <w:sz w:val="24"/>
      <w:szCs w:val="24"/>
    </w:rPr>
  </w:style>
  <w:style w:type="character" w:styleId="727">
    <w:name w:val="Subtitle Char"/>
    <w:basedOn w:val="873"/>
    <w:link w:val="726"/>
    <w:uiPriority w:val="11"/>
    <w:rPr>
      <w:sz w:val="24"/>
      <w:szCs w:val="24"/>
    </w:rPr>
  </w:style>
  <w:style w:type="paragraph" w:styleId="728">
    <w:name w:val="Quote"/>
    <w:basedOn w:val="870"/>
    <w:next w:val="870"/>
    <w:link w:val="729"/>
    <w:uiPriority w:val="29"/>
    <w:qFormat/>
    <w:pPr>
      <w:ind w:left="720" w:right="720"/>
    </w:pPr>
    <w:rPr>
      <w:i/>
    </w:rPr>
  </w:style>
  <w:style w:type="character" w:styleId="729">
    <w:name w:val="Quote Char"/>
    <w:link w:val="728"/>
    <w:uiPriority w:val="29"/>
    <w:rPr>
      <w:i/>
    </w:rPr>
  </w:style>
  <w:style w:type="paragraph" w:styleId="730">
    <w:name w:val="Intense Quote"/>
    <w:basedOn w:val="870"/>
    <w:next w:val="870"/>
    <w:link w:val="73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31">
    <w:name w:val="Intense Quote Char"/>
    <w:link w:val="730"/>
    <w:uiPriority w:val="30"/>
    <w:rPr>
      <w:i/>
    </w:rPr>
  </w:style>
  <w:style w:type="character" w:styleId="732">
    <w:name w:val="Header Char"/>
    <w:basedOn w:val="873"/>
    <w:link w:val="878"/>
    <w:uiPriority w:val="99"/>
  </w:style>
  <w:style w:type="character" w:styleId="733">
    <w:name w:val="Footer Char"/>
    <w:basedOn w:val="873"/>
    <w:link w:val="880"/>
    <w:uiPriority w:val="99"/>
  </w:style>
  <w:style w:type="paragraph" w:styleId="734">
    <w:name w:val="Caption"/>
    <w:basedOn w:val="870"/>
    <w:next w:val="870"/>
    <w:link w:val="735"/>
    <w:uiPriority w:val="35"/>
    <w:semiHidden/>
    <w:unhideWhenUsed/>
    <w:qFormat/>
    <w:pPr>
      <w:spacing w:line="276" w:lineRule="auto"/>
    </w:pPr>
    <w:rPr>
      <w:b/>
      <w:bCs/>
      <w:color w:val="4f81bd" w:themeColor="accent1"/>
      <w:sz w:val="18"/>
      <w:szCs w:val="18"/>
    </w:rPr>
  </w:style>
  <w:style w:type="character" w:styleId="735">
    <w:name w:val="Caption Char"/>
    <w:basedOn w:val="873"/>
    <w:link w:val="734"/>
    <w:uiPriority w:val="35"/>
    <w:rPr>
      <w:b/>
      <w:bCs/>
      <w:color w:val="4f81bd" w:themeColor="accent1"/>
      <w:sz w:val="18"/>
      <w:szCs w:val="18"/>
    </w:rPr>
  </w:style>
  <w:style w:type="table" w:styleId="736">
    <w:name w:val="Table Grid Light"/>
    <w:basedOn w:val="874"/>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37">
    <w:name w:val="Plain Table 1"/>
    <w:basedOn w:val="874"/>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8">
    <w:name w:val="Plain Table 2"/>
    <w:basedOn w:val="874"/>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9">
    <w:name w:val="Plain Table 3"/>
    <w:basedOn w:val="87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40">
    <w:name w:val="Plain Table 4"/>
    <w:basedOn w:val="87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1">
    <w:name w:val="Plain Table 5"/>
    <w:basedOn w:val="87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42">
    <w:name w:val="Grid Table 1 Light"/>
    <w:basedOn w:val="874"/>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43">
    <w:name w:val="Grid Table 1 Light - Accent 1"/>
    <w:basedOn w:val="874"/>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44">
    <w:name w:val="Grid Table 1 Light - Accent 2"/>
    <w:basedOn w:val="874"/>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45">
    <w:name w:val="Grid Table 1 Light - Accent 3"/>
    <w:basedOn w:val="874"/>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46">
    <w:name w:val="Grid Table 1 Light - Accent 4"/>
    <w:basedOn w:val="87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47">
    <w:name w:val="Grid Table 1 Light - Accent 5"/>
    <w:basedOn w:val="874"/>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48">
    <w:name w:val="Grid Table 1 Light - Accent 6"/>
    <w:basedOn w:val="874"/>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49">
    <w:name w:val="Grid Table 2"/>
    <w:basedOn w:val="874"/>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50">
    <w:name w:val="Grid Table 2 - Accent 1"/>
    <w:basedOn w:val="874"/>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51">
    <w:name w:val="Grid Table 2 - Accent 2"/>
    <w:basedOn w:val="874"/>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52">
    <w:name w:val="Grid Table 2 - Accent 3"/>
    <w:basedOn w:val="874"/>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53">
    <w:name w:val="Grid Table 2 - Accent 4"/>
    <w:basedOn w:val="87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54">
    <w:name w:val="Grid Table 2 - Accent 5"/>
    <w:basedOn w:val="874"/>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55">
    <w:name w:val="Grid Table 2 - Accent 6"/>
    <w:basedOn w:val="874"/>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56">
    <w:name w:val="Grid Table 3"/>
    <w:basedOn w:val="874"/>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7">
    <w:name w:val="Grid Table 3 - Accent 1"/>
    <w:basedOn w:val="874"/>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8">
    <w:name w:val="Grid Table 3 - Accent 2"/>
    <w:basedOn w:val="874"/>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9">
    <w:name w:val="Grid Table 3 - Accent 3"/>
    <w:basedOn w:val="874"/>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0">
    <w:name w:val="Grid Table 3 - Accent 4"/>
    <w:basedOn w:val="87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1">
    <w:name w:val="Grid Table 3 - Accent 5"/>
    <w:basedOn w:val="874"/>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2">
    <w:name w:val="Grid Table 3 - Accent 6"/>
    <w:basedOn w:val="874"/>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3">
    <w:name w:val="Grid Table 4"/>
    <w:basedOn w:val="87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64">
    <w:name w:val="Grid Table 4 - Accent 1"/>
    <w:basedOn w:val="874"/>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65">
    <w:name w:val="Grid Table 4 - Accent 2"/>
    <w:basedOn w:val="874"/>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66">
    <w:name w:val="Grid Table 4 - Accent 3"/>
    <w:basedOn w:val="874"/>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67">
    <w:name w:val="Grid Table 4 - Accent 4"/>
    <w:basedOn w:val="87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68">
    <w:name w:val="Grid Table 4 - Accent 5"/>
    <w:basedOn w:val="874"/>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69">
    <w:name w:val="Grid Table 4 - Accent 6"/>
    <w:basedOn w:val="874"/>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70">
    <w:name w:val="Grid Table 5 Dark"/>
    <w:basedOn w:val="87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71">
    <w:name w:val="Grid Table 5 Dark- Accent 1"/>
    <w:basedOn w:val="87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772">
    <w:name w:val="Grid Table 5 Dark - Accent 2"/>
    <w:basedOn w:val="87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773">
    <w:name w:val="Grid Table 5 Dark - Accent 3"/>
    <w:basedOn w:val="87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774">
    <w:name w:val="Grid Table 5 Dark- Accent 4"/>
    <w:basedOn w:val="87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775">
    <w:name w:val="Grid Table 5 Dark - Accent 5"/>
    <w:basedOn w:val="87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776">
    <w:name w:val="Grid Table 5 Dark - Accent 6"/>
    <w:basedOn w:val="87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777">
    <w:name w:val="Grid Table 6 Colorful"/>
    <w:basedOn w:val="874"/>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8">
    <w:name w:val="Grid Table 6 Colorful - Accent 1"/>
    <w:basedOn w:val="874"/>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9">
    <w:name w:val="Grid Table 6 Colorful - Accent 2"/>
    <w:basedOn w:val="874"/>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80">
    <w:name w:val="Grid Table 6 Colorful - Accent 3"/>
    <w:basedOn w:val="874"/>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81">
    <w:name w:val="Grid Table 6 Colorful - Accent 4"/>
    <w:basedOn w:val="87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2">
    <w:name w:val="Grid Table 6 Colorful - Accent 5"/>
    <w:basedOn w:val="874"/>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3">
    <w:name w:val="Grid Table 6 Colorful - Accent 6"/>
    <w:basedOn w:val="874"/>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4">
    <w:name w:val="Grid Table 7 Colorful"/>
    <w:basedOn w:val="874"/>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85">
    <w:name w:val="Grid Table 7 Colorful - Accent 1"/>
    <w:basedOn w:val="874"/>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86">
    <w:name w:val="Grid Table 7 Colorful - Accent 2"/>
    <w:basedOn w:val="874"/>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87">
    <w:name w:val="Grid Table 7 Colorful - Accent 3"/>
    <w:basedOn w:val="874"/>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88">
    <w:name w:val="Grid Table 7 Colorful - Accent 4"/>
    <w:basedOn w:val="87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89">
    <w:name w:val="Grid Table 7 Colorful - Accent 5"/>
    <w:basedOn w:val="874"/>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90">
    <w:name w:val="Grid Table 7 Colorful - Accent 6"/>
    <w:basedOn w:val="874"/>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91">
    <w:name w:val="List Table 1 Light"/>
    <w:basedOn w:val="874"/>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92">
    <w:name w:val="List Table 1 Light - Accent 1"/>
    <w:basedOn w:val="874"/>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93">
    <w:name w:val="List Table 1 Light - Accent 2"/>
    <w:basedOn w:val="874"/>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94">
    <w:name w:val="List Table 1 Light - Accent 3"/>
    <w:basedOn w:val="874"/>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95">
    <w:name w:val="List Table 1 Light - Accent 4"/>
    <w:basedOn w:val="874"/>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96">
    <w:name w:val="List Table 1 Light - Accent 5"/>
    <w:basedOn w:val="874"/>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97">
    <w:name w:val="List Table 1 Light - Accent 6"/>
    <w:basedOn w:val="874"/>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98">
    <w:name w:val="List Table 2"/>
    <w:basedOn w:val="874"/>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99">
    <w:name w:val="List Table 2 - Accent 1"/>
    <w:basedOn w:val="874"/>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800">
    <w:name w:val="List Table 2 - Accent 2"/>
    <w:basedOn w:val="874"/>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801">
    <w:name w:val="List Table 2 - Accent 3"/>
    <w:basedOn w:val="874"/>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802">
    <w:name w:val="List Table 2 - Accent 4"/>
    <w:basedOn w:val="87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803">
    <w:name w:val="List Table 2 - Accent 5"/>
    <w:basedOn w:val="874"/>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804">
    <w:name w:val="List Table 2 - Accent 6"/>
    <w:basedOn w:val="874"/>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805">
    <w:name w:val="List Table 3"/>
    <w:basedOn w:val="87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06">
    <w:name w:val="List Table 3 - Accent 1"/>
    <w:basedOn w:val="874"/>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07">
    <w:name w:val="List Table 3 - Accent 2"/>
    <w:basedOn w:val="874"/>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808">
    <w:name w:val="List Table 3 - Accent 3"/>
    <w:basedOn w:val="874"/>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809">
    <w:name w:val="List Table 3 - Accent 4"/>
    <w:basedOn w:val="87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810">
    <w:name w:val="List Table 3 - Accent 5"/>
    <w:basedOn w:val="874"/>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811">
    <w:name w:val="List Table 3 - Accent 6"/>
    <w:basedOn w:val="874"/>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812">
    <w:name w:val="List Table 4"/>
    <w:basedOn w:val="87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13">
    <w:name w:val="List Table 4 - Accent 1"/>
    <w:basedOn w:val="874"/>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14">
    <w:name w:val="List Table 4 - Accent 2"/>
    <w:basedOn w:val="874"/>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815">
    <w:name w:val="List Table 4 - Accent 3"/>
    <w:basedOn w:val="874"/>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816">
    <w:name w:val="List Table 4 - Accent 4"/>
    <w:basedOn w:val="87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817">
    <w:name w:val="List Table 4 - Accent 5"/>
    <w:basedOn w:val="874"/>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818">
    <w:name w:val="List Table 4 - Accent 6"/>
    <w:basedOn w:val="874"/>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819">
    <w:name w:val="List Table 5 Dark"/>
    <w:basedOn w:val="874"/>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1"/>
    <w:basedOn w:val="874"/>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2"/>
    <w:basedOn w:val="874"/>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3"/>
    <w:basedOn w:val="874"/>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4"/>
    <w:basedOn w:val="87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5 Dark - Accent 5"/>
    <w:basedOn w:val="874"/>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5">
    <w:name w:val="List Table 5 Dark - Accent 6"/>
    <w:basedOn w:val="874"/>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6">
    <w:name w:val="List Table 6 Colorful"/>
    <w:basedOn w:val="874"/>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27">
    <w:name w:val="List Table 6 Colorful - Accent 1"/>
    <w:basedOn w:val="874"/>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828">
    <w:name w:val="List Table 6 Colorful - Accent 2"/>
    <w:basedOn w:val="874"/>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829">
    <w:name w:val="List Table 6 Colorful - Accent 3"/>
    <w:basedOn w:val="874"/>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830">
    <w:name w:val="List Table 6 Colorful - Accent 4"/>
    <w:basedOn w:val="87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831">
    <w:name w:val="List Table 6 Colorful - Accent 5"/>
    <w:basedOn w:val="874"/>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832">
    <w:name w:val="List Table 6 Colorful - Accent 6"/>
    <w:basedOn w:val="874"/>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833">
    <w:name w:val="List Table 7 Colorful"/>
    <w:basedOn w:val="874"/>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834">
    <w:name w:val="List Table 7 Colorful - Accent 1"/>
    <w:basedOn w:val="874"/>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835">
    <w:name w:val="List Table 7 Colorful - Accent 2"/>
    <w:basedOn w:val="874"/>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836">
    <w:name w:val="List Table 7 Colorful - Accent 3"/>
    <w:basedOn w:val="874"/>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837">
    <w:name w:val="List Table 7 Colorful - Accent 4"/>
    <w:basedOn w:val="87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838">
    <w:name w:val="List Table 7 Colorful - Accent 5"/>
    <w:basedOn w:val="874"/>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839">
    <w:name w:val="List Table 7 Colorful - Accent 6"/>
    <w:basedOn w:val="874"/>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840">
    <w:name w:val="Lined - Accent"/>
    <w:basedOn w:val="87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41">
    <w:name w:val="Lined - Accent 1"/>
    <w:basedOn w:val="87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42">
    <w:name w:val="Lined - Accent 2"/>
    <w:basedOn w:val="87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43">
    <w:name w:val="Lined - Accent 3"/>
    <w:basedOn w:val="87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44">
    <w:name w:val="Lined - Accent 4"/>
    <w:basedOn w:val="87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45">
    <w:name w:val="Lined - Accent 5"/>
    <w:basedOn w:val="87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46">
    <w:name w:val="Lined - Accent 6"/>
    <w:basedOn w:val="87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47">
    <w:name w:val="Bordered &amp; Lined - Accent"/>
    <w:basedOn w:val="874"/>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48">
    <w:name w:val="Bordered &amp; Lined - Accent 1"/>
    <w:basedOn w:val="874"/>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49">
    <w:name w:val="Bordered &amp; Lined - Accent 2"/>
    <w:basedOn w:val="874"/>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50">
    <w:name w:val="Bordered &amp; Lined - Accent 3"/>
    <w:basedOn w:val="874"/>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51">
    <w:name w:val="Bordered &amp; Lined - Accent 4"/>
    <w:basedOn w:val="87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52">
    <w:name w:val="Bordered &amp; Lined - Accent 5"/>
    <w:basedOn w:val="874"/>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53">
    <w:name w:val="Bordered &amp; Lined - Accent 6"/>
    <w:basedOn w:val="874"/>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54">
    <w:name w:val="Bordered"/>
    <w:basedOn w:val="874"/>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55">
    <w:name w:val="Bordered - Accent 1"/>
    <w:basedOn w:val="874"/>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56">
    <w:name w:val="Bordered - Accent 2"/>
    <w:basedOn w:val="874"/>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57">
    <w:name w:val="Bordered - Accent 3"/>
    <w:basedOn w:val="874"/>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58">
    <w:name w:val="Bordered - Accent 4"/>
    <w:basedOn w:val="87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59">
    <w:name w:val="Bordered - Accent 5"/>
    <w:basedOn w:val="874"/>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60">
    <w:name w:val="Bordered - Accent 6"/>
    <w:basedOn w:val="874"/>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61">
    <w:name w:val="Footnote Text Char"/>
    <w:link w:val="888"/>
    <w:uiPriority w:val="99"/>
    <w:rPr>
      <w:sz w:val="18"/>
    </w:rPr>
  </w:style>
  <w:style w:type="character" w:styleId="862">
    <w:name w:val="Endnote Text Char"/>
    <w:link w:val="885"/>
    <w:uiPriority w:val="99"/>
    <w:rPr>
      <w:sz w:val="20"/>
    </w:rPr>
  </w:style>
  <w:style w:type="paragraph" w:styleId="863">
    <w:name w:val="toc 4"/>
    <w:basedOn w:val="870"/>
    <w:next w:val="870"/>
    <w:uiPriority w:val="39"/>
    <w:unhideWhenUsed/>
    <w:pPr>
      <w:ind w:left="850" w:right="0" w:firstLine="0"/>
      <w:spacing w:after="57"/>
    </w:pPr>
  </w:style>
  <w:style w:type="paragraph" w:styleId="864">
    <w:name w:val="toc 5"/>
    <w:basedOn w:val="870"/>
    <w:next w:val="870"/>
    <w:uiPriority w:val="39"/>
    <w:unhideWhenUsed/>
    <w:pPr>
      <w:ind w:left="1134" w:right="0" w:firstLine="0"/>
      <w:spacing w:after="57"/>
    </w:pPr>
  </w:style>
  <w:style w:type="paragraph" w:styleId="865">
    <w:name w:val="toc 6"/>
    <w:basedOn w:val="870"/>
    <w:next w:val="870"/>
    <w:uiPriority w:val="39"/>
    <w:unhideWhenUsed/>
    <w:pPr>
      <w:ind w:left="1417" w:right="0" w:firstLine="0"/>
      <w:spacing w:after="57"/>
    </w:pPr>
  </w:style>
  <w:style w:type="paragraph" w:styleId="866">
    <w:name w:val="toc 7"/>
    <w:basedOn w:val="870"/>
    <w:next w:val="870"/>
    <w:uiPriority w:val="39"/>
    <w:unhideWhenUsed/>
    <w:pPr>
      <w:ind w:left="1701" w:right="0" w:firstLine="0"/>
      <w:spacing w:after="57"/>
    </w:pPr>
  </w:style>
  <w:style w:type="paragraph" w:styleId="867">
    <w:name w:val="toc 8"/>
    <w:basedOn w:val="870"/>
    <w:next w:val="870"/>
    <w:uiPriority w:val="39"/>
    <w:unhideWhenUsed/>
    <w:pPr>
      <w:ind w:left="1984" w:right="0" w:firstLine="0"/>
      <w:spacing w:after="57"/>
    </w:pPr>
  </w:style>
  <w:style w:type="paragraph" w:styleId="868">
    <w:name w:val="toc 9"/>
    <w:basedOn w:val="870"/>
    <w:next w:val="870"/>
    <w:uiPriority w:val="39"/>
    <w:unhideWhenUsed/>
    <w:pPr>
      <w:ind w:left="2268" w:right="0" w:firstLine="0"/>
      <w:spacing w:after="57"/>
    </w:pPr>
  </w:style>
  <w:style w:type="paragraph" w:styleId="869">
    <w:name w:val="table of figures"/>
    <w:basedOn w:val="870"/>
    <w:next w:val="870"/>
    <w:uiPriority w:val="99"/>
    <w:unhideWhenUsed/>
    <w:pPr>
      <w:spacing w:after="0" w:afterAutospacing="0"/>
    </w:pPr>
  </w:style>
  <w:style w:type="paragraph" w:styleId="870" w:default="1">
    <w:name w:val="Normal"/>
    <w:qFormat/>
  </w:style>
  <w:style w:type="paragraph" w:styleId="871">
    <w:name w:val="Heading 1"/>
    <w:basedOn w:val="870"/>
    <w:next w:val="870"/>
    <w:link w:val="898"/>
    <w:uiPriority w:val="9"/>
    <w:qFormat/>
    <w:pPr>
      <w:keepLines/>
      <w:keepNext/>
      <w:spacing w:before="240" w:after="0"/>
      <w:outlineLvl w:val="0"/>
    </w:pPr>
    <w:rPr>
      <w:rFonts w:asciiTheme="majorHAnsi" w:hAnsiTheme="majorHAnsi" w:eastAsiaTheme="majorEastAsia" w:cstheme="majorBidi"/>
      <w:color w:val="365f91" w:themeColor="accent1" w:themeShade="BF"/>
      <w:sz w:val="32"/>
      <w:szCs w:val="32"/>
    </w:rPr>
  </w:style>
  <w:style w:type="paragraph" w:styleId="872">
    <w:name w:val="Heading 2"/>
    <w:basedOn w:val="870"/>
    <w:next w:val="870"/>
    <w:link w:val="897"/>
    <w:uiPriority w:val="9"/>
    <w:unhideWhenUsed/>
    <w:qFormat/>
    <w:pPr>
      <w:keepLines/>
      <w:keepNext/>
      <w:spacing w:before="40" w:after="0"/>
      <w:outlineLvl w:val="1"/>
    </w:pPr>
    <w:rPr>
      <w:rFonts w:asciiTheme="majorHAnsi" w:hAnsiTheme="majorHAnsi" w:eastAsiaTheme="majorEastAsia" w:cstheme="majorBidi"/>
      <w:color w:val="365f91" w:themeColor="accent1" w:themeShade="BF"/>
      <w:sz w:val="26"/>
      <w:szCs w:val="26"/>
    </w:rPr>
  </w:style>
  <w:style w:type="character" w:styleId="873" w:default="1">
    <w:name w:val="Default Paragraph Font"/>
    <w:uiPriority w:val="1"/>
    <w:semiHidden/>
    <w:unhideWhenUsed/>
  </w:style>
  <w:style w:type="table" w:styleId="874" w:default="1">
    <w:name w:val="Normal Table"/>
    <w:uiPriority w:val="99"/>
    <w:semiHidden/>
    <w:unhideWhenUsed/>
    <w:tblPr>
      <w:tblInd w:w="0" w:type="dxa"/>
      <w:tblCellMar>
        <w:left w:w="108" w:type="dxa"/>
        <w:top w:w="0" w:type="dxa"/>
        <w:right w:w="108" w:type="dxa"/>
        <w:bottom w:w="0" w:type="dxa"/>
      </w:tblCellMar>
    </w:tblPr>
  </w:style>
  <w:style w:type="numbering" w:styleId="875" w:default="1">
    <w:name w:val="No List"/>
    <w:uiPriority w:val="99"/>
    <w:semiHidden/>
    <w:unhideWhenUsed/>
  </w:style>
  <w:style w:type="paragraph" w:styleId="876">
    <w:name w:val="Balloon Text"/>
    <w:basedOn w:val="870"/>
    <w:link w:val="877"/>
    <w:uiPriority w:val="99"/>
    <w:semiHidden/>
    <w:unhideWhenUsed/>
    <w:pPr>
      <w:spacing w:after="0" w:line="240" w:lineRule="auto"/>
    </w:pPr>
    <w:rPr>
      <w:rFonts w:ascii="Tahoma" w:hAnsi="Tahoma" w:cs="Tahoma"/>
      <w:sz w:val="16"/>
      <w:szCs w:val="16"/>
    </w:rPr>
  </w:style>
  <w:style w:type="character" w:styleId="877" w:customStyle="1">
    <w:name w:val="Текст выноски Знак"/>
    <w:basedOn w:val="873"/>
    <w:link w:val="876"/>
    <w:uiPriority w:val="99"/>
    <w:semiHidden/>
    <w:rPr>
      <w:rFonts w:ascii="Tahoma" w:hAnsi="Tahoma" w:cs="Tahoma"/>
      <w:sz w:val="16"/>
      <w:szCs w:val="16"/>
    </w:rPr>
  </w:style>
  <w:style w:type="paragraph" w:styleId="878">
    <w:name w:val="Header"/>
    <w:basedOn w:val="870"/>
    <w:link w:val="879"/>
    <w:uiPriority w:val="99"/>
    <w:unhideWhenUsed/>
    <w:pPr>
      <w:spacing w:after="0" w:line="240" w:lineRule="auto"/>
      <w:tabs>
        <w:tab w:val="center" w:pos="4677" w:leader="none"/>
        <w:tab w:val="right" w:pos="9355" w:leader="none"/>
      </w:tabs>
    </w:pPr>
  </w:style>
  <w:style w:type="character" w:styleId="879" w:customStyle="1">
    <w:name w:val="Верхний колонтитул Знак"/>
    <w:basedOn w:val="873"/>
    <w:link w:val="878"/>
    <w:uiPriority w:val="99"/>
  </w:style>
  <w:style w:type="paragraph" w:styleId="880">
    <w:name w:val="Footer"/>
    <w:basedOn w:val="870"/>
    <w:link w:val="881"/>
    <w:uiPriority w:val="99"/>
    <w:unhideWhenUsed/>
    <w:pPr>
      <w:spacing w:after="0" w:line="240" w:lineRule="auto"/>
      <w:tabs>
        <w:tab w:val="center" w:pos="4677" w:leader="none"/>
        <w:tab w:val="right" w:pos="9355" w:leader="none"/>
      </w:tabs>
    </w:pPr>
  </w:style>
  <w:style w:type="character" w:styleId="881" w:customStyle="1">
    <w:name w:val="Нижний колонтитул Знак"/>
    <w:basedOn w:val="873"/>
    <w:link w:val="880"/>
    <w:uiPriority w:val="99"/>
  </w:style>
  <w:style w:type="table" w:styleId="882">
    <w:name w:val="Table Grid"/>
    <w:basedOn w:val="874"/>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883">
    <w:name w:val="List Paragraph"/>
    <w:basedOn w:val="870"/>
    <w:uiPriority w:val="34"/>
    <w:qFormat/>
    <w:pPr>
      <w:contextualSpacing/>
      <w:ind w:left="720"/>
    </w:pPr>
  </w:style>
  <w:style w:type="paragraph" w:styleId="884">
    <w:name w:val="toc 1"/>
    <w:basedOn w:val="870"/>
    <w:next w:val="870"/>
    <w:uiPriority w:val="39"/>
    <w:unhideWhenUsed/>
    <w:qFormat/>
    <w:pPr>
      <w:jc w:val="both"/>
      <w:spacing w:after="0" w:line="240" w:lineRule="auto"/>
      <w:tabs>
        <w:tab w:val="right" w:pos="9781" w:leader="dot"/>
      </w:tabs>
    </w:pPr>
    <w:rPr>
      <w:rFonts w:ascii="Times New Roman" w:hAnsi="Times New Roman" w:cs="Times New Roman"/>
      <w:sz w:val="44"/>
      <w:szCs w:val="44"/>
      <w:lang w:eastAsia="ru-RU"/>
    </w:rPr>
  </w:style>
  <w:style w:type="paragraph" w:styleId="885">
    <w:name w:val="endnote text"/>
    <w:basedOn w:val="870"/>
    <w:link w:val="886"/>
    <w:uiPriority w:val="99"/>
    <w:semiHidden/>
    <w:unhideWhenUsed/>
    <w:pPr>
      <w:spacing w:after="0" w:line="240" w:lineRule="auto"/>
    </w:pPr>
    <w:rPr>
      <w:sz w:val="20"/>
      <w:szCs w:val="20"/>
    </w:rPr>
  </w:style>
  <w:style w:type="character" w:styleId="886" w:customStyle="1">
    <w:name w:val="Текст концевой сноски Знак"/>
    <w:basedOn w:val="873"/>
    <w:link w:val="885"/>
    <w:uiPriority w:val="99"/>
    <w:semiHidden/>
    <w:rPr>
      <w:sz w:val="20"/>
      <w:szCs w:val="20"/>
    </w:rPr>
  </w:style>
  <w:style w:type="character" w:styleId="887">
    <w:name w:val="endnote reference"/>
    <w:basedOn w:val="873"/>
    <w:uiPriority w:val="99"/>
    <w:semiHidden/>
    <w:unhideWhenUsed/>
    <w:rPr>
      <w:vertAlign w:val="superscript"/>
    </w:rPr>
  </w:style>
  <w:style w:type="paragraph" w:styleId="888">
    <w:name w:val="footnote text"/>
    <w:basedOn w:val="870"/>
    <w:link w:val="889"/>
    <w:uiPriority w:val="99"/>
    <w:semiHidden/>
    <w:unhideWhenUsed/>
    <w:pPr>
      <w:spacing w:after="0" w:line="240" w:lineRule="auto"/>
    </w:pPr>
    <w:rPr>
      <w:sz w:val="20"/>
      <w:szCs w:val="20"/>
    </w:rPr>
  </w:style>
  <w:style w:type="character" w:styleId="889" w:customStyle="1">
    <w:name w:val="Текст сноски Знак"/>
    <w:basedOn w:val="873"/>
    <w:link w:val="888"/>
    <w:uiPriority w:val="99"/>
    <w:semiHidden/>
    <w:rPr>
      <w:sz w:val="20"/>
      <w:szCs w:val="20"/>
    </w:rPr>
  </w:style>
  <w:style w:type="character" w:styleId="890">
    <w:name w:val="footnote reference"/>
    <w:basedOn w:val="873"/>
    <w:uiPriority w:val="99"/>
    <w:semiHidden/>
    <w:unhideWhenUsed/>
    <w:rPr>
      <w:vertAlign w:val="superscript"/>
    </w:rPr>
  </w:style>
  <w:style w:type="character" w:styleId="891">
    <w:name w:val="annotation reference"/>
    <w:basedOn w:val="873"/>
    <w:uiPriority w:val="99"/>
    <w:semiHidden/>
    <w:unhideWhenUsed/>
    <w:rPr>
      <w:sz w:val="16"/>
      <w:szCs w:val="16"/>
    </w:rPr>
  </w:style>
  <w:style w:type="paragraph" w:styleId="892">
    <w:name w:val="annotation text"/>
    <w:basedOn w:val="870"/>
    <w:link w:val="893"/>
    <w:uiPriority w:val="99"/>
    <w:semiHidden/>
    <w:unhideWhenUsed/>
    <w:pPr>
      <w:spacing w:line="240" w:lineRule="auto"/>
    </w:pPr>
    <w:rPr>
      <w:sz w:val="20"/>
      <w:szCs w:val="20"/>
    </w:rPr>
  </w:style>
  <w:style w:type="character" w:styleId="893" w:customStyle="1">
    <w:name w:val="Текст примечания Знак"/>
    <w:basedOn w:val="873"/>
    <w:link w:val="892"/>
    <w:uiPriority w:val="99"/>
    <w:semiHidden/>
    <w:rPr>
      <w:sz w:val="20"/>
      <w:szCs w:val="20"/>
    </w:rPr>
  </w:style>
  <w:style w:type="paragraph" w:styleId="894">
    <w:name w:val="annotation subject"/>
    <w:basedOn w:val="892"/>
    <w:next w:val="892"/>
    <w:link w:val="895"/>
    <w:uiPriority w:val="99"/>
    <w:semiHidden/>
    <w:unhideWhenUsed/>
    <w:rPr>
      <w:b/>
      <w:bCs/>
    </w:rPr>
  </w:style>
  <w:style w:type="character" w:styleId="895" w:customStyle="1">
    <w:name w:val="Тема примечания Знак"/>
    <w:basedOn w:val="893"/>
    <w:link w:val="894"/>
    <w:uiPriority w:val="99"/>
    <w:semiHidden/>
    <w:rPr>
      <w:b/>
      <w:bCs/>
      <w:sz w:val="20"/>
      <w:szCs w:val="20"/>
    </w:rPr>
  </w:style>
  <w:style w:type="paragraph" w:styleId="896" w:customStyle="1">
    <w:name w:val="Default"/>
    <w:pPr>
      <w:spacing w:after="0" w:line="240" w:lineRule="auto"/>
    </w:pPr>
    <w:rPr>
      <w:rFonts w:ascii="Times New Roman" w:hAnsi="Times New Roman" w:cs="Times New Roman"/>
      <w:color w:val="000000"/>
      <w:sz w:val="24"/>
      <w:szCs w:val="24"/>
    </w:rPr>
  </w:style>
  <w:style w:type="character" w:styleId="897" w:customStyle="1">
    <w:name w:val="Заголовок 2 Знак"/>
    <w:basedOn w:val="873"/>
    <w:link w:val="872"/>
    <w:uiPriority w:val="9"/>
    <w:rPr>
      <w:rFonts w:asciiTheme="majorHAnsi" w:hAnsiTheme="majorHAnsi" w:eastAsiaTheme="majorEastAsia" w:cstheme="majorBidi"/>
      <w:color w:val="365f91" w:themeColor="accent1" w:themeShade="BF"/>
      <w:sz w:val="26"/>
      <w:szCs w:val="26"/>
    </w:rPr>
  </w:style>
  <w:style w:type="character" w:styleId="898" w:customStyle="1">
    <w:name w:val="Заголовок 1 Знак"/>
    <w:basedOn w:val="873"/>
    <w:link w:val="871"/>
    <w:uiPriority w:val="9"/>
    <w:rPr>
      <w:rFonts w:asciiTheme="majorHAnsi" w:hAnsiTheme="majorHAnsi" w:eastAsiaTheme="majorEastAsia" w:cstheme="majorBidi"/>
      <w:color w:val="365f91" w:themeColor="accent1" w:themeShade="BF"/>
      <w:sz w:val="32"/>
      <w:szCs w:val="32"/>
    </w:rPr>
  </w:style>
  <w:style w:type="paragraph" w:styleId="899">
    <w:name w:val="TOC Heading"/>
    <w:basedOn w:val="871"/>
    <w:next w:val="870"/>
    <w:uiPriority w:val="39"/>
    <w:unhideWhenUsed/>
    <w:qFormat/>
    <w:pPr>
      <w:spacing w:line="259" w:lineRule="auto"/>
      <w:outlineLvl w:val="9"/>
    </w:pPr>
    <w:rPr>
      <w:lang w:eastAsia="ru-RU"/>
    </w:rPr>
  </w:style>
  <w:style w:type="paragraph" w:styleId="900">
    <w:name w:val="toc 2"/>
    <w:basedOn w:val="870"/>
    <w:next w:val="870"/>
    <w:uiPriority w:val="39"/>
    <w:unhideWhenUsed/>
    <w:pPr>
      <w:ind w:left="220"/>
      <w:spacing w:after="100" w:line="259" w:lineRule="auto"/>
    </w:pPr>
    <w:rPr>
      <w:rFonts w:cs="Times New Roman" w:eastAsiaTheme="minorEastAsia"/>
      <w:lang w:eastAsia="ru-RU"/>
    </w:rPr>
  </w:style>
  <w:style w:type="paragraph" w:styleId="901">
    <w:name w:val="toc 3"/>
    <w:basedOn w:val="870"/>
    <w:next w:val="870"/>
    <w:uiPriority w:val="39"/>
    <w:unhideWhenUsed/>
    <w:pPr>
      <w:ind w:left="440"/>
      <w:spacing w:after="100" w:line="259" w:lineRule="auto"/>
    </w:pPr>
    <w:rPr>
      <w:rFonts w:cs="Times New Roman" w:eastAsiaTheme="minorEastAsia"/>
      <w:lang w:eastAsia="ru-RU"/>
    </w:rPr>
  </w:style>
  <w:style w:type="character" w:styleId="902">
    <w:name w:val="Hyperlink"/>
    <w:basedOn w:val="873"/>
    <w:uiPriority w:val="99"/>
    <w:unhideWhenUsed/>
    <w:rPr>
      <w:color w:val="0000ff" w:themeColor="hyperlink"/>
      <w:u w:val="singl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customXml" Target="../customXml/item1.xml" /><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137015-3E02-431D-81AA-8946C7926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r7-office/2025.3.1.923</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Шошина Любовь Николаевна</dc:creator>
  <cp:lastModifiedBy>Лебедева Марианна Сергеевна</cp:lastModifiedBy>
  <cp:revision>68</cp:revision>
  <dcterms:created xsi:type="dcterms:W3CDTF">2026-05-12T05:23:00Z</dcterms:created>
  <dcterms:modified xsi:type="dcterms:W3CDTF">2026-05-22T07:41:59Z</dcterms:modified>
</cp:coreProperties>
</file>