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результатах проверок</w:t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>
        <w:rPr>
          <w:sz w:val="28"/>
          <w:szCs w:val="28"/>
        </w:rPr>
        <w:br/>
        <w:t xml:space="preserve">(далее – Управление) с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24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августа</w:t>
      </w:r>
      <w:r>
        <w:rPr>
          <w:sz w:val="28"/>
          <w:szCs w:val="28"/>
        </w:rPr>
        <w:t xml:space="preserve"> 2026 года завершены и оформлены акт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</w:r>
    </w:p>
    <w:p>
      <w:pPr>
        <w:ind w:firstLine="709"/>
        <w:jc w:val="both"/>
        <w:rPr>
          <w:rFonts w:eastAsia="Calibr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- </w:t>
      </w:r>
      <w:r>
        <w:rPr>
          <w:sz w:val="28"/>
          <w:szCs w:val="28"/>
        </w:rPr>
        <w:t xml:space="preserve">планов</w:t>
      </w:r>
      <w:r>
        <w:rPr>
          <w:sz w:val="28"/>
          <w:szCs w:val="28"/>
        </w:rPr>
        <w:t xml:space="preserve">ая</w:t>
      </w:r>
      <w:r>
        <w:rPr>
          <w:sz w:val="28"/>
          <w:szCs w:val="28"/>
        </w:rPr>
        <w:t xml:space="preserve"> выездн</w:t>
      </w:r>
      <w:r>
        <w:rPr>
          <w:sz w:val="28"/>
          <w:szCs w:val="28"/>
        </w:rPr>
        <w:t xml:space="preserve">ая</w:t>
      </w:r>
      <w:r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осуществления расходов федерального бюджета на реализацию мероприятий федерального проекта «Развитие федеральной сети» национального проекта «Инфраструктура для жизни»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за </w:t>
      </w:r>
      <w:r>
        <w:rPr>
          <w:bCs/>
          <w:sz w:val="28"/>
          <w:szCs w:val="28"/>
        </w:rPr>
        <w:t xml:space="preserve">2025 – истекший период 2026 года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проведенная </w:t>
      </w:r>
      <w:r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  <w:lang w:eastAsia="ar-SA"/>
        </w:rPr>
        <w:t xml:space="preserve">соответствии </w:t>
      </w:r>
      <w:r>
        <w:rPr>
          <w:sz w:val="28"/>
          <w:szCs w:val="28"/>
          <w:lang w:eastAsia="ar-SA"/>
        </w:rPr>
        <w:br/>
      </w:r>
      <w:r>
        <w:rPr>
          <w:sz w:val="28"/>
          <w:szCs w:val="28"/>
        </w:rPr>
        <w:t xml:space="preserve">с пунктом </w:t>
      </w:r>
      <w:r>
        <w:rPr>
          <w:sz w:val="28"/>
          <w:szCs w:val="28"/>
        </w:rPr>
        <w:t xml:space="preserve">8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Плана контрольных мероприятий Управления на 2026 год, утвержденного руководителем 18 декабря 2025 г.,</w:t>
      </w:r>
      <w:r>
        <w:rPr>
          <w:sz w:val="28"/>
          <w:szCs w:val="28"/>
          <w:lang w:eastAsia="ar-SA"/>
        </w:rPr>
        <w:t xml:space="preserve"> (с изменениями)</w:t>
      </w:r>
      <w:r>
        <w:rPr>
          <w:sz w:val="28"/>
          <w:szCs w:val="28"/>
          <w:lang w:eastAsia="ar-SA"/>
        </w:rPr>
        <w:br/>
        <w:t xml:space="preserve">(далее – План на 2026 год), </w:t>
      </w:r>
      <w:r>
        <w:rPr>
          <w:bCs/>
          <w:sz w:val="28"/>
          <w:szCs w:val="28"/>
        </w:rPr>
        <w:t xml:space="preserve">в </w:t>
      </w:r>
      <w:r>
        <w:rPr>
          <w:rFonts w:eastAsia="Calibri"/>
          <w:sz w:val="28"/>
          <w:szCs w:val="28"/>
        </w:rPr>
        <w:t xml:space="preserve">Федеральном казенном учреждении «Федеральное управление автомобильных дорог «Урал» Федерального дорожного агентства» в части деятельности филиала Федерального казенного учреждения «Федеральное управление автомобильных дорог «Урал» Фе</w:t>
      </w:r>
      <w:r>
        <w:rPr>
          <w:rFonts w:eastAsia="Calibri"/>
          <w:sz w:val="28"/>
          <w:szCs w:val="28"/>
        </w:rPr>
        <w:t xml:space="preserve">дерального дорожного агентства </w:t>
      </w:r>
      <w:r>
        <w:rPr>
          <w:rFonts w:eastAsia="Calibri"/>
          <w:sz w:val="28"/>
          <w:szCs w:val="28"/>
        </w:rPr>
        <w:t xml:space="preserve">в г. Челябинске»</w:t>
      </w:r>
      <w:r>
        <w:rPr>
          <w:rFonts w:eastAsia="Calibri"/>
          <w:sz w:val="28"/>
          <w:szCs w:val="28"/>
        </w:rPr>
        <w:t xml:space="preserve">;</w:t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rPr>
          <w:rFonts w:eastAsia="Calibr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</w:rPr>
        <w:t xml:space="preserve">- </w:t>
      </w:r>
      <w:r>
        <w:rPr>
          <w:rFonts w:eastAsia="Calibri"/>
          <w:sz w:val="28"/>
          <w:szCs w:val="28"/>
        </w:rPr>
        <w:t xml:space="preserve">плановая выездная проверка </w:t>
      </w:r>
      <w:r>
        <w:rPr>
          <w:rFonts w:eastAsia="Calibri"/>
          <w:sz w:val="28"/>
          <w:szCs w:val="28"/>
        </w:rPr>
        <w:t xml:space="preserve">предоставления субсидий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</w:t>
      </w:r>
      <w:r>
        <w:rPr>
          <w:rFonts w:eastAsia="Calibri"/>
          <w:sz w:val="28"/>
          <w:szCs w:val="28"/>
        </w:rPr>
        <w:t xml:space="preserve">зации такими организациями инновационных проектов в рамках подпрограммы «Содействие проведению научных исследований и опытных разработок в гражданских отраслях промышленности» государственной программы Российской Федерации «Развитие промышленности и повыше</w:t>
      </w:r>
      <w:r>
        <w:rPr>
          <w:rFonts w:eastAsia="Calibri"/>
          <w:sz w:val="28"/>
          <w:szCs w:val="28"/>
        </w:rPr>
        <w:t xml:space="preserve">ние ее конкурентоспособности»,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в рамках федерального проекта «Содействие проведению научно-исследовательских и опытно-конструкторских работ в гражданских отраслях промышленности» государственной про</w:t>
      </w:r>
      <w:r>
        <w:rPr>
          <w:rFonts w:eastAsia="Calibri"/>
          <w:sz w:val="28"/>
          <w:szCs w:val="28"/>
        </w:rPr>
        <w:t xml:space="preserve">граммы Российской Федерации «Научно-технологическое развитие Российской Федерации», а также субсидий федеральному государственному автономному учреждению «Российский фонд технологического развития» в целях стимулирования деятельности в сфере промышленности</w:t>
      </w:r>
      <w:r>
        <w:rPr>
          <w:rFonts w:eastAsia="Calibri"/>
          <w:sz w:val="28"/>
          <w:szCs w:val="28"/>
        </w:rPr>
        <w:t xml:space="preserve"> за </w:t>
      </w:r>
      <w:r>
        <w:rPr>
          <w:rFonts w:eastAsia="Calibri"/>
          <w:sz w:val="28"/>
          <w:szCs w:val="28"/>
        </w:rPr>
        <w:t xml:space="preserve">2020</w:t>
      </w:r>
      <w:r>
        <w:rPr>
          <w:rFonts w:eastAsia="Calibri"/>
          <w:sz w:val="28"/>
          <w:szCs w:val="28"/>
        </w:rPr>
      </w:r>
      <w:r>
        <w:rPr>
          <w:bCs/>
          <w:sz w:val="28"/>
          <w:szCs w:val="28"/>
        </w:rPr>
        <w:t xml:space="preserve"> – </w:t>
      </w:r>
      <w:r/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  <w:t xml:space="preserve">истекший период 2026 года</w:t>
      </w:r>
      <w:r>
        <w:rPr>
          <w:rFonts w:eastAsia="Calibri"/>
          <w:sz w:val="28"/>
          <w:szCs w:val="28"/>
        </w:rPr>
        <w:t xml:space="preserve">, проведенн</w:t>
      </w:r>
      <w:r>
        <w:rPr>
          <w:rFonts w:eastAsia="Calibri"/>
          <w:sz w:val="28"/>
          <w:szCs w:val="28"/>
        </w:rPr>
        <w:t xml:space="preserve">ая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в соответствии с пунктом </w:t>
      </w:r>
      <w:r>
        <w:rPr>
          <w:rFonts w:eastAsia="Calibri"/>
          <w:sz w:val="28"/>
          <w:szCs w:val="28"/>
        </w:rPr>
        <w:t xml:space="preserve">22</w:t>
      </w:r>
      <w:r>
        <w:rPr>
          <w:rFonts w:eastAsia="Calibri"/>
          <w:sz w:val="28"/>
          <w:szCs w:val="28"/>
        </w:rPr>
        <w:t xml:space="preserve"> Плана на 2026 год</w:t>
      </w:r>
      <w:r>
        <w:rPr>
          <w:rFonts w:eastAsia="Calibri"/>
          <w:sz w:val="28"/>
          <w:szCs w:val="28"/>
        </w:rPr>
        <w:t xml:space="preserve">,</w:t>
      </w:r>
      <w:r>
        <w:rPr>
          <w:rFonts w:eastAsia="Calibri"/>
          <w:sz w:val="28"/>
          <w:szCs w:val="28"/>
        </w:rPr>
        <w:t xml:space="preserve"> в </w:t>
      </w:r>
      <w:r>
        <w:rPr>
          <w:rFonts w:eastAsia="Calibri"/>
          <w:sz w:val="28"/>
          <w:szCs w:val="28"/>
        </w:rPr>
        <w:t xml:space="preserve">Обществе с ограниченной ответственностью «ДСТ-Урал»</w:t>
      </w:r>
      <w:r>
        <w:rPr>
          <w:rFonts w:eastAsia="Calibri"/>
          <w:sz w:val="28"/>
          <w:szCs w:val="28"/>
        </w:rPr>
        <w:t xml:space="preserve">;</w:t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rPr>
          <w:rFonts w:eastAsia="Calibri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</w:rPr>
        <w:t xml:space="preserve">-</w:t>
      </w:r>
      <w:r>
        <w:rPr>
          <w:rFonts w:eastAsia="Calibri"/>
          <w:sz w:val="28"/>
          <w:szCs w:val="28"/>
        </w:rPr>
        <w:t xml:space="preserve"> </w:t>
      </w:r>
      <w:bookmarkStart w:id="0" w:name="_GoBack"/>
      <w:r/>
      <w:bookmarkEnd w:id="0"/>
      <w:r>
        <w:rPr>
          <w:rFonts w:eastAsia="Calibri"/>
          <w:sz w:val="28"/>
          <w:szCs w:val="28"/>
        </w:rPr>
        <w:t xml:space="preserve">плановая выездная проверка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предоставления субсидий российским производителям на компе</w:t>
      </w:r>
      <w:r>
        <w:rPr>
          <w:rFonts w:eastAsia="Calibri"/>
          <w:sz w:val="28"/>
          <w:szCs w:val="28"/>
        </w:rPr>
        <w:t xml:space="preserve">нсацию части затрат, связанных </w:t>
      </w:r>
      <w:r>
        <w:rPr>
          <w:rFonts w:eastAsia="Calibri"/>
          <w:sz w:val="28"/>
          <w:szCs w:val="28"/>
        </w:rPr>
        <w:t xml:space="preserve">с выпуском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и поддерж</w:t>
      </w:r>
      <w:r>
        <w:rPr>
          <w:rFonts w:eastAsia="Calibri"/>
          <w:sz w:val="28"/>
          <w:szCs w:val="28"/>
        </w:rPr>
        <w:t xml:space="preserve">кой гарантийных обязательств в отношении высокопроизводительной самоходной, а также высокопроизводительной сельскохозяйственной самоходной и прицепной техники в рамках реализации мероприятий подпрограммы «Развитие транспортного и специального машиностроени</w:t>
      </w:r>
      <w:r>
        <w:rPr>
          <w:rFonts w:eastAsia="Calibri"/>
          <w:sz w:val="28"/>
          <w:szCs w:val="28"/>
        </w:rPr>
        <w:t xml:space="preserve">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ее конкурентоспособности»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за 202</w:t>
      </w:r>
      <w:r>
        <w:rPr>
          <w:rFonts w:eastAsia="Calibri"/>
          <w:sz w:val="28"/>
          <w:szCs w:val="28"/>
        </w:rPr>
        <w:t xml:space="preserve">1</w:t>
      </w:r>
      <w:r>
        <w:rPr>
          <w:bCs/>
          <w:sz w:val="28"/>
          <w:szCs w:val="28"/>
        </w:rPr>
        <w:t xml:space="preserve"> – </w:t>
      </w:r>
      <w:r/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  <w:t xml:space="preserve">истекший</w:t>
      </w:r>
      <w:r>
        <w:rPr>
          <w:rFonts w:eastAsia="Calibri"/>
          <w:sz w:val="28"/>
          <w:szCs w:val="28"/>
        </w:rPr>
        <w:t xml:space="preserve"> период 2026 года, проведенная </w:t>
      </w:r>
      <w:r>
        <w:rPr>
          <w:rFonts w:eastAsia="Calibri"/>
          <w:sz w:val="28"/>
          <w:szCs w:val="28"/>
        </w:rPr>
        <w:t xml:space="preserve">в соответствии с пунктом 2</w:t>
      </w:r>
      <w:r>
        <w:rPr>
          <w:rFonts w:eastAsia="Calibri"/>
          <w:sz w:val="28"/>
          <w:szCs w:val="28"/>
        </w:rPr>
        <w:t xml:space="preserve">1</w:t>
      </w:r>
      <w:r>
        <w:rPr>
          <w:rFonts w:eastAsia="Calibri"/>
          <w:sz w:val="28"/>
          <w:szCs w:val="28"/>
        </w:rPr>
        <w:t xml:space="preserve"> Плана на 2026 год,</w:t>
      </w:r>
      <w:r>
        <w:rPr>
          <w:rFonts w:eastAsia="Calibri"/>
          <w:sz w:val="28"/>
          <w:szCs w:val="28"/>
        </w:rPr>
        <w:t xml:space="preserve"> в </w:t>
      </w:r>
      <w:r>
        <w:rPr>
          <w:rFonts w:eastAsia="Calibri"/>
          <w:sz w:val="28"/>
          <w:szCs w:val="28"/>
        </w:rPr>
        <w:t xml:space="preserve">Обществе с ограниченной ответственностью «Трактор»</w:t>
      </w:r>
      <w:r>
        <w:rPr>
          <w:rFonts w:eastAsia="Calibri"/>
          <w:sz w:val="28"/>
          <w:szCs w:val="28"/>
        </w:rPr>
        <w:t xml:space="preserve">.</w:t>
      </w:r>
      <w:r>
        <w:rPr>
          <w:rFonts w:eastAsia="Calibri"/>
          <w:sz w:val="28"/>
          <w:szCs w:val="28"/>
        </w:rPr>
      </w:r>
    </w:p>
    <w:p>
      <w:pPr>
        <w:pStyle w:val="875"/>
        <w:ind w:firstLine="709"/>
        <w:jc w:val="both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 xml:space="preserve">контрольных мероприятий</w:t>
      </w:r>
      <w:r>
        <w:rPr>
          <w:sz w:val="28"/>
          <w:szCs w:val="28"/>
        </w:rPr>
        <w:t xml:space="preserve"> подлежат р</w:t>
      </w:r>
      <w:r>
        <w:rPr>
          <w:sz w:val="28"/>
          <w:szCs w:val="28"/>
        </w:rPr>
        <w:t xml:space="preserve">ассмотрению </w:t>
      </w:r>
      <w:r>
        <w:rPr>
          <w:sz w:val="28"/>
          <w:szCs w:val="28"/>
        </w:rPr>
        <w:br/>
        <w:t xml:space="preserve">на заседании Контрольной комиссии Управления.</w:t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68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0133948"/>
      <w:docPartObj>
        <w:docPartGallery w:val="Page Numbers (Top of Page)"/>
        <w:docPartUnique w:val="true"/>
      </w:docPartObj>
      <w:rPr/>
    </w:sdtPr>
    <w:sdtContent>
      <w:p>
        <w:pPr>
          <w:pStyle w:val="87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0" w:hanging="1410"/>
        <w:tabs>
          <w:tab w:val="num" w:pos="141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118" w:hanging="1410"/>
        <w:tabs>
          <w:tab w:val="num" w:pos="2118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26" w:hanging="1410"/>
        <w:tabs>
          <w:tab w:val="num" w:pos="2826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34" w:hanging="1410"/>
        <w:tabs>
          <w:tab w:val="num" w:pos="353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2" w:hanging="1410"/>
        <w:tabs>
          <w:tab w:val="num" w:pos="424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  <w:tabs>
          <w:tab w:val="num" w:pos="49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  <w:tabs>
          <w:tab w:val="num" w:pos="604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  <w:tabs>
          <w:tab w:val="num" w:pos="675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  <w:tabs>
          <w:tab w:val="num" w:pos="7824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33" w:hanging="360"/>
        <w:tabs>
          <w:tab w:val="num" w:pos="7133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  <w:tabs>
          <w:tab w:val="num" w:pos="214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  <w:tabs>
          <w:tab w:val="num" w:pos="28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  <w:tabs>
          <w:tab w:val="num" w:pos="35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  <w:tabs>
          <w:tab w:val="num" w:pos="43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  <w:tabs>
          <w:tab w:val="num" w:pos="50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  <w:tabs>
          <w:tab w:val="num" w:pos="57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  <w:tabs>
          <w:tab w:val="num" w:pos="64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  <w:tabs>
          <w:tab w:val="num" w:pos="7188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33" w:hanging="360"/>
        <w:tabs>
          <w:tab w:val="num" w:pos="7133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2148" w:hanging="360"/>
        <w:tabs>
          <w:tab w:val="num" w:pos="2148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  <w:tabs>
          <w:tab w:val="num" w:pos="28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  <w:tabs>
          <w:tab w:val="num" w:pos="35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  <w:tabs>
          <w:tab w:val="num" w:pos="43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  <w:tabs>
          <w:tab w:val="num" w:pos="50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  <w:tabs>
          <w:tab w:val="num" w:pos="57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  <w:tabs>
          <w:tab w:val="num" w:pos="64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  <w:tabs>
          <w:tab w:val="num" w:pos="7188" w:leader="none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89"/>
    <w:link w:val="703"/>
    <w:uiPriority w:val="10"/>
    <w:rPr>
      <w:sz w:val="48"/>
      <w:szCs w:val="48"/>
    </w:rPr>
  </w:style>
  <w:style w:type="character" w:styleId="37">
    <w:name w:val="Subtitle Char"/>
    <w:basedOn w:val="689"/>
    <w:link w:val="705"/>
    <w:uiPriority w:val="11"/>
    <w:rPr>
      <w:sz w:val="24"/>
      <w:szCs w:val="24"/>
    </w:rPr>
  </w:style>
  <w:style w:type="character" w:styleId="39">
    <w:name w:val="Quote Char"/>
    <w:link w:val="707"/>
    <w:uiPriority w:val="29"/>
    <w:rPr>
      <w:i/>
    </w:rPr>
  </w:style>
  <w:style w:type="character" w:styleId="41">
    <w:name w:val="Intense Quote Char"/>
    <w:link w:val="709"/>
    <w:uiPriority w:val="30"/>
    <w:rPr>
      <w:i/>
    </w:rPr>
  </w:style>
  <w:style w:type="character" w:styleId="47">
    <w:name w:val="Caption Char"/>
    <w:basedOn w:val="689"/>
    <w:link w:val="713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40"/>
    <w:uiPriority w:val="99"/>
    <w:rPr>
      <w:sz w:val="18"/>
    </w:rPr>
  </w:style>
  <w:style w:type="character" w:styleId="179">
    <w:name w:val="Endnote Text Char"/>
    <w:link w:val="843"/>
    <w:uiPriority w:val="99"/>
    <w:rPr>
      <w:sz w:val="20"/>
    </w:rPr>
  </w:style>
  <w:style w:type="paragraph" w:styleId="679" w:default="1">
    <w:name w:val="Normal"/>
    <w:qFormat/>
    <w:rPr>
      <w:sz w:val="24"/>
      <w:szCs w:val="24"/>
    </w:rPr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basedOn w:val="689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List Paragraph"/>
    <w:basedOn w:val="679"/>
    <w:uiPriority w:val="34"/>
    <w:qFormat/>
    <w:pPr>
      <w:contextualSpacing/>
      <w:ind w:left="720"/>
    </w:pPr>
  </w:style>
  <w:style w:type="paragraph" w:styleId="702">
    <w:name w:val="No Spacing"/>
    <w:uiPriority w:val="1"/>
    <w:qFormat/>
  </w:style>
  <w:style w:type="paragraph" w:styleId="703">
    <w:name w:val="Title"/>
    <w:basedOn w:val="679"/>
    <w:next w:val="679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 w:customStyle="1">
    <w:name w:val="Название Знак"/>
    <w:basedOn w:val="689"/>
    <w:link w:val="703"/>
    <w:uiPriority w:val="10"/>
    <w:rPr>
      <w:sz w:val="48"/>
      <w:szCs w:val="48"/>
    </w:rPr>
  </w:style>
  <w:style w:type="paragraph" w:styleId="705">
    <w:name w:val="Subtitle"/>
    <w:basedOn w:val="679"/>
    <w:next w:val="679"/>
    <w:link w:val="706"/>
    <w:uiPriority w:val="11"/>
    <w:qFormat/>
    <w:pPr>
      <w:spacing w:before="200" w:after="200"/>
    </w:pPr>
  </w:style>
  <w:style w:type="character" w:styleId="706" w:customStyle="1">
    <w:name w:val="Подзаголовок Знак"/>
    <w:basedOn w:val="689"/>
    <w:link w:val="705"/>
    <w:uiPriority w:val="11"/>
    <w:rPr>
      <w:sz w:val="24"/>
      <w:szCs w:val="24"/>
    </w:rPr>
  </w:style>
  <w:style w:type="paragraph" w:styleId="707">
    <w:name w:val="Quote"/>
    <w:basedOn w:val="679"/>
    <w:next w:val="679"/>
    <w:link w:val="708"/>
    <w:uiPriority w:val="29"/>
    <w:qFormat/>
    <w:pPr>
      <w:ind w:left="720" w:right="720"/>
    </w:pPr>
    <w:rPr>
      <w:i/>
    </w:rPr>
  </w:style>
  <w:style w:type="character" w:styleId="708" w:customStyle="1">
    <w:name w:val="Цитата 2 Знак"/>
    <w:link w:val="707"/>
    <w:uiPriority w:val="29"/>
    <w:rPr>
      <w:i/>
    </w:rPr>
  </w:style>
  <w:style w:type="paragraph" w:styleId="709">
    <w:name w:val="Intense Quote"/>
    <w:basedOn w:val="679"/>
    <w:next w:val="679"/>
    <w:link w:val="71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 w:customStyle="1">
    <w:name w:val="Выделенная цитата Знак"/>
    <w:link w:val="709"/>
    <w:uiPriority w:val="30"/>
    <w:rPr>
      <w:i/>
    </w:rPr>
  </w:style>
  <w:style w:type="character" w:styleId="711" w:customStyle="1">
    <w:name w:val="Header Char"/>
    <w:basedOn w:val="689"/>
    <w:uiPriority w:val="99"/>
  </w:style>
  <w:style w:type="character" w:styleId="712" w:customStyle="1">
    <w:name w:val="Footer Char"/>
    <w:basedOn w:val="689"/>
    <w:uiPriority w:val="99"/>
  </w:style>
  <w:style w:type="paragraph" w:styleId="713">
    <w:name w:val="Caption"/>
    <w:basedOn w:val="679"/>
    <w:next w:val="679"/>
    <w:link w:val="7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 w:customStyle="1">
    <w:name w:val="Название объекта Знак"/>
    <w:basedOn w:val="689"/>
    <w:link w:val="713"/>
    <w:uiPriority w:val="35"/>
    <w:rPr>
      <w:b/>
      <w:bCs/>
      <w:color w:val="4f81bd" w:themeColor="accent1"/>
      <w:sz w:val="18"/>
      <w:szCs w:val="18"/>
    </w:rPr>
  </w:style>
  <w:style w:type="table" w:styleId="715" w:customStyle="1">
    <w:name w:val="Table Grid Light"/>
    <w:basedOn w:val="69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6">
    <w:name w:val="Plain Table 1"/>
    <w:basedOn w:val="69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69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69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69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69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69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1"/>
    <w:basedOn w:val="69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2"/>
    <w:basedOn w:val="69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3"/>
    <w:basedOn w:val="69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4"/>
    <w:basedOn w:val="69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5"/>
    <w:basedOn w:val="69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6"/>
    <w:basedOn w:val="69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69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1"/>
    <w:basedOn w:val="69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2"/>
    <w:basedOn w:val="69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3"/>
    <w:basedOn w:val="69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4"/>
    <w:basedOn w:val="69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5"/>
    <w:basedOn w:val="69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6"/>
    <w:basedOn w:val="69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69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1"/>
    <w:basedOn w:val="69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2"/>
    <w:basedOn w:val="69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3"/>
    <w:basedOn w:val="69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4"/>
    <w:basedOn w:val="69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5"/>
    <w:basedOn w:val="69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6"/>
    <w:basedOn w:val="69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69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 w:customStyle="1">
    <w:name w:val="Grid Table 4 - Accent 1"/>
    <w:basedOn w:val="69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4" w:customStyle="1">
    <w:name w:val="Grid Table 4 - Accent 2"/>
    <w:basedOn w:val="69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5" w:customStyle="1">
    <w:name w:val="Grid Table 4 - Accent 3"/>
    <w:basedOn w:val="69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6" w:customStyle="1">
    <w:name w:val="Grid Table 4 - Accent 4"/>
    <w:basedOn w:val="69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7" w:customStyle="1">
    <w:name w:val="Grid Table 4 - Accent 5"/>
    <w:basedOn w:val="69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8" w:customStyle="1">
    <w:name w:val="Grid Table 4 - Accent 6"/>
    <w:basedOn w:val="69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9">
    <w:name w:val="Grid Table 5 Dark"/>
    <w:basedOn w:val="6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1"/>
    <w:basedOn w:val="6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2"/>
    <w:basedOn w:val="6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3"/>
    <w:basedOn w:val="6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- Accent 4"/>
    <w:basedOn w:val="6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5"/>
    <w:basedOn w:val="6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6"/>
    <w:basedOn w:val="6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6">
    <w:name w:val="Grid Table 6 Colorful"/>
    <w:basedOn w:val="69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7" w:customStyle="1">
    <w:name w:val="Grid Table 6 Colorful - Accent 1"/>
    <w:basedOn w:val="69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8" w:customStyle="1">
    <w:name w:val="Grid Table 6 Colorful - Accent 2"/>
    <w:basedOn w:val="69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9" w:customStyle="1">
    <w:name w:val="Grid Table 6 Colorful - Accent 3"/>
    <w:basedOn w:val="69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0" w:customStyle="1">
    <w:name w:val="Grid Table 6 Colorful - Accent 4"/>
    <w:basedOn w:val="69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1" w:customStyle="1">
    <w:name w:val="Grid Table 6 Colorful - Accent 5"/>
    <w:basedOn w:val="69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2" w:customStyle="1">
    <w:name w:val="Grid Table 6 Colorful - Accent 6"/>
    <w:basedOn w:val="69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3">
    <w:name w:val="Grid Table 7 Colorful"/>
    <w:basedOn w:val="69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1"/>
    <w:basedOn w:val="69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2"/>
    <w:basedOn w:val="69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3"/>
    <w:basedOn w:val="69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4"/>
    <w:basedOn w:val="69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5"/>
    <w:basedOn w:val="69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6"/>
    <w:basedOn w:val="69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>
    <w:name w:val="List Table 1 Light"/>
    <w:basedOn w:val="69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1"/>
    <w:basedOn w:val="690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2"/>
    <w:basedOn w:val="690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3"/>
    <w:basedOn w:val="690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4"/>
    <w:basedOn w:val="690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5"/>
    <w:basedOn w:val="690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6"/>
    <w:basedOn w:val="690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69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1"/>
    <w:basedOn w:val="69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2"/>
    <w:basedOn w:val="69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3"/>
    <w:basedOn w:val="69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4"/>
    <w:basedOn w:val="69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5"/>
    <w:basedOn w:val="69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6"/>
    <w:basedOn w:val="69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69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1"/>
    <w:basedOn w:val="69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2"/>
    <w:basedOn w:val="69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3"/>
    <w:basedOn w:val="69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4"/>
    <w:basedOn w:val="69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5"/>
    <w:basedOn w:val="69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6"/>
    <w:basedOn w:val="69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69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1"/>
    <w:basedOn w:val="69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2"/>
    <w:basedOn w:val="69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3"/>
    <w:basedOn w:val="69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4"/>
    <w:basedOn w:val="69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5"/>
    <w:basedOn w:val="69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6"/>
    <w:basedOn w:val="69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69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1"/>
    <w:basedOn w:val="69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2"/>
    <w:basedOn w:val="69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3"/>
    <w:basedOn w:val="69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4"/>
    <w:basedOn w:val="69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5"/>
    <w:basedOn w:val="69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6"/>
    <w:basedOn w:val="69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>
    <w:name w:val="List Table 6 Colorful"/>
    <w:basedOn w:val="69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6" w:customStyle="1">
    <w:name w:val="List Table 6 Colorful - Accent 1"/>
    <w:basedOn w:val="69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7" w:customStyle="1">
    <w:name w:val="List Table 6 Colorful - Accent 2"/>
    <w:basedOn w:val="69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8" w:customStyle="1">
    <w:name w:val="List Table 6 Colorful - Accent 3"/>
    <w:basedOn w:val="69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9" w:customStyle="1">
    <w:name w:val="List Table 6 Colorful - Accent 4"/>
    <w:basedOn w:val="69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0" w:customStyle="1">
    <w:name w:val="List Table 6 Colorful - Accent 5"/>
    <w:basedOn w:val="69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1" w:customStyle="1">
    <w:name w:val="List Table 6 Colorful - Accent 6"/>
    <w:basedOn w:val="69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2">
    <w:name w:val="List Table 7 Colorful"/>
    <w:basedOn w:val="69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1"/>
    <w:basedOn w:val="69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2"/>
    <w:basedOn w:val="69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3"/>
    <w:basedOn w:val="69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4"/>
    <w:basedOn w:val="69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5"/>
    <w:basedOn w:val="69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6"/>
    <w:basedOn w:val="69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ned - Accent"/>
    <w:basedOn w:val="69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Lined - Accent 1"/>
    <w:basedOn w:val="69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1" w:customStyle="1">
    <w:name w:val="Lined - Accent 2"/>
    <w:basedOn w:val="69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2" w:customStyle="1">
    <w:name w:val="Lined - Accent 3"/>
    <w:basedOn w:val="69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3" w:customStyle="1">
    <w:name w:val="Lined - Accent 4"/>
    <w:basedOn w:val="69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4" w:customStyle="1">
    <w:name w:val="Lined - Accent 5"/>
    <w:basedOn w:val="69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5" w:customStyle="1">
    <w:name w:val="Lined - Accent 6"/>
    <w:basedOn w:val="69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6" w:customStyle="1">
    <w:name w:val="Bordered &amp; Lined - Accent"/>
    <w:basedOn w:val="69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Bordered &amp; Lined - Accent 1"/>
    <w:basedOn w:val="690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8" w:customStyle="1">
    <w:name w:val="Bordered &amp; Lined - Accent 2"/>
    <w:basedOn w:val="690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9" w:customStyle="1">
    <w:name w:val="Bordered &amp; Lined - Accent 3"/>
    <w:basedOn w:val="690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0" w:customStyle="1">
    <w:name w:val="Bordered &amp; Lined - Accent 4"/>
    <w:basedOn w:val="690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1" w:customStyle="1">
    <w:name w:val="Bordered &amp; Lined - Accent 5"/>
    <w:basedOn w:val="690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2" w:customStyle="1">
    <w:name w:val="Bordered &amp; Lined - Accent 6"/>
    <w:basedOn w:val="690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3" w:customStyle="1">
    <w:name w:val="Bordered"/>
    <w:basedOn w:val="69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4" w:customStyle="1">
    <w:name w:val="Bordered - Accent 1"/>
    <w:basedOn w:val="69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5" w:customStyle="1">
    <w:name w:val="Bordered - Accent 2"/>
    <w:basedOn w:val="69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6" w:customStyle="1">
    <w:name w:val="Bordered - Accent 3"/>
    <w:basedOn w:val="69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7" w:customStyle="1">
    <w:name w:val="Bordered - Accent 4"/>
    <w:basedOn w:val="69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8" w:customStyle="1">
    <w:name w:val="Bordered - Accent 5"/>
    <w:basedOn w:val="69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9" w:customStyle="1">
    <w:name w:val="Bordered - Accent 6"/>
    <w:basedOn w:val="69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40">
    <w:name w:val="footnote text"/>
    <w:basedOn w:val="679"/>
    <w:link w:val="841"/>
    <w:uiPriority w:val="99"/>
    <w:semiHidden/>
    <w:unhideWhenUsed/>
    <w:pPr>
      <w:spacing w:after="40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basedOn w:val="689"/>
    <w:uiPriority w:val="99"/>
    <w:unhideWhenUsed/>
    <w:rPr>
      <w:vertAlign w:val="superscript"/>
    </w:rPr>
  </w:style>
  <w:style w:type="paragraph" w:styleId="843">
    <w:name w:val="endnote text"/>
    <w:basedOn w:val="679"/>
    <w:link w:val="844"/>
    <w:uiPriority w:val="99"/>
    <w:semiHidden/>
    <w:unhideWhenUsed/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basedOn w:val="689"/>
    <w:uiPriority w:val="99"/>
    <w:semiHidden/>
    <w:unhideWhenUsed/>
    <w:rPr>
      <w:vertAlign w:val="superscript"/>
    </w:rPr>
  </w:style>
  <w:style w:type="paragraph" w:styleId="846">
    <w:name w:val="toc 1"/>
    <w:basedOn w:val="679"/>
    <w:next w:val="679"/>
    <w:uiPriority w:val="39"/>
    <w:unhideWhenUsed/>
    <w:pPr>
      <w:spacing w:after="57"/>
    </w:pPr>
  </w:style>
  <w:style w:type="paragraph" w:styleId="847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48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49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0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1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2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3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4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679"/>
    <w:next w:val="679"/>
    <w:uiPriority w:val="99"/>
    <w:unhideWhenUsed/>
  </w:style>
  <w:style w:type="table" w:styleId="857">
    <w:name w:val="Table Grid"/>
    <w:basedOn w:val="69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8" w:customStyle="1">
    <w:name w:val="Знак1 Знак Знак Знак"/>
    <w:basedOn w:val="679"/>
    <w:next w:val="679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859" w:customStyle="1">
    <w:name w:val="Char Char Char Char"/>
    <w:basedOn w:val="679"/>
    <w:next w:val="679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860" w:customStyle="1">
    <w:name w:val="Знак"/>
    <w:basedOn w:val="679"/>
    <w:next w:val="679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861">
    <w:name w:val="Balloon Text"/>
    <w:basedOn w:val="679"/>
    <w:semiHidden/>
    <w:rPr>
      <w:rFonts w:ascii="Tahoma" w:hAnsi="Tahoma" w:cs="Tahoma"/>
      <w:sz w:val="16"/>
      <w:szCs w:val="16"/>
    </w:rPr>
  </w:style>
  <w:style w:type="character" w:styleId="862" w:customStyle="1">
    <w:name w:val="Font Style14"/>
    <w:rPr>
      <w:rFonts w:ascii="Times New Roman" w:hAnsi="Times New Roman" w:cs="Times New Roman"/>
      <w:sz w:val="26"/>
      <w:szCs w:val="26"/>
    </w:rPr>
  </w:style>
  <w:style w:type="character" w:styleId="863" w:customStyle="1">
    <w:name w:val="Основной текст Знак"/>
    <w:link w:val="864"/>
    <w:rPr>
      <w:sz w:val="26"/>
      <w:szCs w:val="26"/>
      <w:lang w:bidi="ar-SA"/>
    </w:rPr>
  </w:style>
  <w:style w:type="paragraph" w:styleId="864">
    <w:name w:val="Body Text"/>
    <w:basedOn w:val="679"/>
    <w:link w:val="863"/>
    <w:pPr>
      <w:jc w:val="both"/>
      <w:spacing w:before="900" w:line="475" w:lineRule="exact"/>
      <w:shd w:val="clear" w:color="auto" w:fill="ffffff"/>
    </w:pPr>
    <w:rPr>
      <w:sz w:val="26"/>
      <w:szCs w:val="26"/>
    </w:rPr>
  </w:style>
  <w:style w:type="character" w:styleId="865" w:customStyle="1">
    <w:name w:val="Основной текст (2)3"/>
    <w:rPr>
      <w:rFonts w:ascii="Times New Roman" w:hAnsi="Times New Roman" w:cs="Times New Roman"/>
      <w:b/>
      <w:bCs/>
      <w:spacing w:val="0"/>
      <w:sz w:val="26"/>
      <w:szCs w:val="26"/>
    </w:rPr>
  </w:style>
  <w:style w:type="character" w:styleId="866" w:customStyle="1">
    <w:name w:val="Основной текст (2)2"/>
    <w:rPr>
      <w:rFonts w:ascii="Times New Roman" w:hAnsi="Times New Roman" w:cs="Times New Roman"/>
      <w:b/>
      <w:bCs/>
      <w:spacing w:val="0"/>
      <w:sz w:val="26"/>
      <w:szCs w:val="26"/>
    </w:rPr>
  </w:style>
  <w:style w:type="paragraph" w:styleId="867">
    <w:name w:val="Body Text Indent"/>
    <w:basedOn w:val="679"/>
    <w:link w:val="868"/>
    <w:pPr>
      <w:ind w:left="283"/>
      <w:spacing w:after="120"/>
    </w:pPr>
  </w:style>
  <w:style w:type="character" w:styleId="868" w:customStyle="1">
    <w:name w:val="Основной текст с отступом Знак"/>
    <w:basedOn w:val="689"/>
    <w:link w:val="867"/>
    <w:rPr>
      <w:sz w:val="24"/>
      <w:szCs w:val="24"/>
    </w:rPr>
  </w:style>
  <w:style w:type="character" w:styleId="869">
    <w:name w:val="Hyperlink"/>
    <w:uiPriority w:val="99"/>
    <w:unhideWhenUsed/>
    <w:rPr>
      <w:color w:val="0000ff"/>
      <w:u w:val="single"/>
    </w:rPr>
  </w:style>
  <w:style w:type="paragraph" w:styleId="870">
    <w:name w:val="Header"/>
    <w:basedOn w:val="679"/>
    <w:link w:val="871"/>
    <w:uiPriority w:val="99"/>
    <w:pPr>
      <w:tabs>
        <w:tab w:val="center" w:pos="4677" w:leader="none"/>
        <w:tab w:val="right" w:pos="9355" w:leader="none"/>
      </w:tabs>
    </w:pPr>
  </w:style>
  <w:style w:type="character" w:styleId="871" w:customStyle="1">
    <w:name w:val="Верхний колонтитул Знак"/>
    <w:basedOn w:val="689"/>
    <w:link w:val="870"/>
    <w:uiPriority w:val="99"/>
    <w:rPr>
      <w:sz w:val="24"/>
      <w:szCs w:val="24"/>
    </w:rPr>
  </w:style>
  <w:style w:type="paragraph" w:styleId="872">
    <w:name w:val="Footer"/>
    <w:basedOn w:val="679"/>
    <w:link w:val="873"/>
    <w:pPr>
      <w:tabs>
        <w:tab w:val="center" w:pos="4677" w:leader="none"/>
        <w:tab w:val="right" w:pos="9355" w:leader="none"/>
      </w:tabs>
    </w:pPr>
  </w:style>
  <w:style w:type="character" w:styleId="873" w:customStyle="1">
    <w:name w:val="Нижний колонтитул Знак"/>
    <w:basedOn w:val="689"/>
    <w:link w:val="872"/>
    <w:rPr>
      <w:sz w:val="24"/>
      <w:szCs w:val="24"/>
    </w:rPr>
  </w:style>
  <w:style w:type="character" w:styleId="874" w:customStyle="1">
    <w:name w:val="Основной текст_"/>
    <w:link w:val="875"/>
    <w:rPr>
      <w:sz w:val="26"/>
      <w:szCs w:val="26"/>
      <w:shd w:val="clear" w:color="auto" w:fill="ffffff"/>
    </w:rPr>
  </w:style>
  <w:style w:type="paragraph" w:styleId="875" w:customStyle="1">
    <w:name w:val="Основной текст2"/>
    <w:basedOn w:val="679"/>
    <w:link w:val="874"/>
    <w:pPr>
      <w:spacing w:after="1080" w:line="0" w:lineRule="atLeast"/>
      <w:shd w:val="clear" w:color="auto" w:fill="ffffff"/>
    </w:pPr>
    <w:rPr>
      <w:sz w:val="26"/>
      <w:szCs w:val="26"/>
    </w:rPr>
  </w:style>
  <w:style w:type="character" w:styleId="876" w:customStyle="1">
    <w:name w:val="fontstyle01"/>
    <w:basedOn w:val="689"/>
    <w:rPr>
      <w:rFonts w:hint="default"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styleId="877" w:customStyle="1">
    <w:name w:val="docdata"/>
    <w:basedOn w:val="68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ufk34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5</cp:revision>
  <dcterms:created xsi:type="dcterms:W3CDTF">2026-08-24T05:20:00Z</dcterms:created>
  <dcterms:modified xsi:type="dcterms:W3CDTF">2026-08-24T07:29:21Z</dcterms:modified>
</cp:coreProperties>
</file>