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92"/>
        <w:ind w:left="0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Информация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7"/>
        <w:jc w:val="center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 принимаемых мерах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предупреждению коррупции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</w:r>
    </w:p>
    <w:p>
      <w:pPr>
        <w:pStyle w:val="697"/>
        <w:jc w:val="center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в том числе о ходе реализации мероприятий Плана противодействия коррупции Управления Федерального казначейства </w:t>
      </w:r>
      <w:r>
        <w:rPr>
          <w:sz w:val="28"/>
          <w:szCs w:val="28"/>
        </w:rPr>
      </w:r>
    </w:p>
    <w:p>
      <w:pPr>
        <w:pStyle w:val="697"/>
        <w:jc w:val="center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по Челябинской области в 2025 году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2"/>
        <w:ind w:left="0" w:firstLine="709"/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План</w:t>
      </w:r>
      <w:r>
        <w:rPr>
          <w:sz w:val="28"/>
          <w:szCs w:val="28"/>
        </w:rPr>
        <w:t xml:space="preserve">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противодействия коррупции </w:t>
      </w:r>
      <w:r>
        <w:rPr>
          <w:sz w:val="28"/>
          <w:szCs w:val="28"/>
        </w:rPr>
        <w:t xml:space="preserve">Управления Федерального казначейства по Челябинской области на 2025-2028 годы, утвержденным приказом Управления Федерального казначейства по Челябинской области (далее</w:t>
      </w:r>
      <w:r>
        <w:rPr>
          <w:sz w:val="28"/>
          <w:szCs w:val="28"/>
        </w:rPr>
        <w:t xml:space="preserve"> соответственно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План, </w:t>
      </w:r>
      <w:r>
        <w:rPr>
          <w:sz w:val="28"/>
          <w:szCs w:val="28"/>
        </w:rPr>
        <w:t xml:space="preserve">Управление)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от 10 февраля 2025 г. № 57 </w:t>
      </w:r>
      <w:r>
        <w:rPr>
          <w:sz w:val="28"/>
          <w:szCs w:val="28"/>
        </w:rPr>
        <w:t xml:space="preserve">отдел</w:t>
      </w:r>
      <w:r>
        <w:rPr>
          <w:sz w:val="28"/>
          <w:szCs w:val="28"/>
        </w:rPr>
        <w:t xml:space="preserve">ом</w:t>
      </w:r>
      <w:r>
        <w:rPr>
          <w:sz w:val="28"/>
          <w:szCs w:val="28"/>
        </w:rPr>
        <w:t xml:space="preserve"> государственной гражданской службы и кадров </w:t>
      </w:r>
      <w:r>
        <w:rPr>
          <w:sz w:val="28"/>
          <w:szCs w:val="28"/>
        </w:rPr>
        <w:t xml:space="preserve">в 2025 году проведены следующие мероприятия. 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роведен мониторинг и анализ соблюдения гр</w:t>
      </w:r>
      <w:r>
        <w:rPr>
          <w:sz w:val="28"/>
          <w:szCs w:val="28"/>
        </w:rPr>
        <w:t xml:space="preserve">ажданскими служащими Упра</w:t>
      </w:r>
      <w:r>
        <w:rPr>
          <w:sz w:val="28"/>
          <w:szCs w:val="28"/>
        </w:rPr>
        <w:t xml:space="preserve">вления, должности которых включены в Перечень гражданской службы в центральном аппарате Федерального казначейства и его территориальных  органах, при замещении которых  федеральные государственные гражданские служащие обязаны представлять сведения о дохода</w:t>
      </w:r>
      <w:r>
        <w:rPr>
          <w:sz w:val="28"/>
          <w:szCs w:val="28"/>
        </w:rPr>
        <w:t xml:space="preserve">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приказом Федерального казначейства от 24 декабря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021 г. № 47н (далее – Перечень</w:t>
      </w:r>
      <w:r>
        <w:rPr>
          <w:sz w:val="28"/>
          <w:szCs w:val="28"/>
        </w:rPr>
        <w:t xml:space="preserve"> должностей</w:t>
      </w:r>
      <w:r>
        <w:rPr>
          <w:sz w:val="28"/>
          <w:szCs w:val="28"/>
        </w:rPr>
        <w:t xml:space="preserve">), ограничений, предусмотренных статьей 12 Федерального закона от 25 декабря 2008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№ 273-ФЗ «О противодействии коррупции».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2025 год </w:t>
      </w:r>
      <w:r>
        <w:rPr>
          <w:rStyle w:val="699"/>
          <w:sz w:val="28"/>
          <w:szCs w:val="28"/>
        </w:rPr>
        <w:t xml:space="preserve">поступило </w:t>
      </w:r>
      <w:r>
        <w:rPr>
          <w:rStyle w:val="699"/>
          <w:sz w:val="28"/>
          <w:szCs w:val="28"/>
        </w:rPr>
        <w:t xml:space="preserve">4</w:t>
      </w:r>
      <w:r>
        <w:rPr>
          <w:rStyle w:val="699"/>
          <w:sz w:val="28"/>
          <w:szCs w:val="28"/>
        </w:rPr>
        <w:t xml:space="preserve">8</w:t>
      </w:r>
      <w:r>
        <w:rPr>
          <w:rStyle w:val="699"/>
          <w:sz w:val="28"/>
          <w:szCs w:val="28"/>
        </w:rPr>
        <w:t xml:space="preserve"> уведомлени</w:t>
      </w:r>
      <w:r>
        <w:rPr>
          <w:rStyle w:val="699"/>
          <w:sz w:val="28"/>
          <w:szCs w:val="28"/>
        </w:rPr>
        <w:t xml:space="preserve">й</w:t>
      </w:r>
      <w:r>
        <w:rPr>
          <w:rStyle w:val="699"/>
          <w:sz w:val="28"/>
          <w:szCs w:val="28"/>
        </w:rPr>
        <w:t xml:space="preserve"> </w:t>
      </w:r>
      <w:r>
        <w:rPr>
          <w:sz w:val="28"/>
          <w:szCs w:val="28"/>
        </w:rPr>
        <w:t xml:space="preserve">от коммерческих (некоммерческих) организаций о заключении с гражданами, ранее замещавшими должности гражданской службы в Управлении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(далее соответственно – уведомления, граждане)</w:t>
      </w:r>
      <w:r>
        <w:rPr>
          <w:sz w:val="28"/>
          <w:szCs w:val="28"/>
        </w:rPr>
        <w:t xml:space="preserve"> трудовых договоров </w:t>
      </w:r>
      <w:r>
        <w:rPr>
          <w:sz w:val="28"/>
          <w:szCs w:val="28"/>
        </w:rPr>
        <w:t xml:space="preserve">и гражданско-правовых договоров</w:t>
      </w:r>
      <w:r>
        <w:rPr>
          <w:sz w:val="28"/>
          <w:szCs w:val="28"/>
        </w:rPr>
        <w:t xml:space="preserve">, из них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3 уведомления</w:t>
      </w:r>
      <w:r>
        <w:rPr>
          <w:sz w:val="28"/>
          <w:szCs w:val="28"/>
        </w:rPr>
        <w:t xml:space="preserve"> на граждан, должности которых включены в Перечень </w:t>
      </w:r>
      <w:r>
        <w:rPr>
          <w:sz w:val="28"/>
          <w:szCs w:val="28"/>
        </w:rPr>
        <w:t xml:space="preserve">должностей.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уведомлений подготовлены мотивированные заключения </w:t>
      </w:r>
      <w:r>
        <w:rPr>
          <w:sz w:val="28"/>
          <w:szCs w:val="28"/>
          <w:shd w:val="clear" w:color="auto" w:fill="ffffff"/>
        </w:rPr>
        <w:t xml:space="preserve">о соблюдении гражданами требований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"http://s6900law01.fsfk.local/" \l "/document/12164203/entry/12" </w:instrText>
      </w:r>
      <w:r>
        <w:rPr>
          <w:sz w:val="28"/>
          <w:szCs w:val="28"/>
        </w:rPr>
        <w:fldChar w:fldCharType="separate"/>
      </w:r>
      <w:r>
        <w:rPr>
          <w:rStyle w:val="703"/>
          <w:color w:val="000000"/>
          <w:sz w:val="28"/>
          <w:szCs w:val="28"/>
          <w:u w:val="none"/>
          <w:shd w:val="clear" w:color="auto" w:fill="ffffff"/>
        </w:rPr>
        <w:t xml:space="preserve">статьи 12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shd w:val="clear" w:color="auto" w:fill="ffffff"/>
        </w:rPr>
        <w:t xml:space="preserve"> Федерального закона</w:t>
      </w:r>
      <w:r>
        <w:rPr>
          <w:sz w:val="28"/>
          <w:szCs w:val="28"/>
          <w:shd w:val="clear" w:color="auto" w:fill="ffffff"/>
        </w:rPr>
        <w:t xml:space="preserve"> от 25 декабря 2008 г. № 273-ФЗ «О противодействии коррупции»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 xml:space="preserve">В связи с отсутствием оснований, связанных с коррупционными рисками, в</w:t>
      </w:r>
      <w:r>
        <w:rPr>
          <w:rStyle w:val="699"/>
          <w:sz w:val="28"/>
          <w:szCs w:val="28"/>
        </w:rPr>
        <w:t xml:space="preserve">опрос о </w:t>
      </w:r>
      <w:r>
        <w:rPr>
          <w:sz w:val="28"/>
          <w:szCs w:val="28"/>
        </w:rPr>
        <w:t xml:space="preserve">даче согла</w:t>
      </w:r>
      <w:r>
        <w:rPr>
          <w:sz w:val="28"/>
          <w:szCs w:val="28"/>
        </w:rPr>
        <w:t xml:space="preserve">сия на замещение гражданами должности в коммерческих (некоммерческих) организациях Комиссией Управления Федерального казначейства по Челябинской области по соблюдению требований к служебному поведению федеральных государственных гражданских служащих и урегулированию конфликта интересов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  <w:t xml:space="preserve">(</w:t>
      </w:r>
      <w:r>
        <w:rPr>
          <w:sz w:val="28"/>
          <w:szCs w:val="28"/>
        </w:rPr>
        <w:t xml:space="preserve">далее – Комиссия)</w:t>
      </w:r>
      <w:r>
        <w:rPr>
          <w:sz w:val="28"/>
          <w:szCs w:val="28"/>
        </w:rPr>
        <w:t xml:space="preserve"> не рассматривался.</w:t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rStyle w:val="699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 адрес </w:t>
      </w:r>
      <w:r>
        <w:rPr>
          <w:sz w:val="28"/>
          <w:szCs w:val="28"/>
        </w:rPr>
        <w:t xml:space="preserve">коммерческих (некоммерческих) организаций направлены ответные письма.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684"/>
        <w:ind w:firstLine="709"/>
        <w:jc w:val="both"/>
        <w:tabs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Прокуратуру Челябинской области направлена информация об отсутствии сведений (более 6 месяцев) о дальнейшем трудоустройстве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в отношении 8 граждан, включенных в Перечень</w:t>
      </w:r>
      <w:r>
        <w:rPr>
          <w:sz w:val="28"/>
          <w:szCs w:val="28"/>
        </w:rPr>
        <w:t xml:space="preserve"> должностей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в отношении одного гражданина возбуждено дело об административном правонарушении по статье 19.29 КоАП, которое направлено для рассмотрения в суд.</w:t>
      </w:r>
      <w:r>
        <w:rPr>
          <w:sz w:val="28"/>
          <w:szCs w:val="28"/>
        </w:rPr>
      </w:r>
    </w:p>
    <w:p>
      <w:pPr>
        <w:pStyle w:val="7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Проведена </w:t>
      </w:r>
      <w:r>
        <w:rPr>
          <w:sz w:val="28"/>
          <w:szCs w:val="28"/>
        </w:rPr>
        <w:t xml:space="preserve">ревизия локальных актов </w:t>
      </w:r>
      <w:r>
        <w:rPr>
          <w:sz w:val="28"/>
          <w:szCs w:val="28"/>
        </w:rPr>
        <w:t xml:space="preserve">Управления</w:t>
      </w:r>
      <w:r>
        <w:rPr>
          <w:sz w:val="28"/>
          <w:szCs w:val="28"/>
        </w:rPr>
        <w:t xml:space="preserve"> </w:t>
      </w:r>
      <w:r>
        <w:rPr>
          <w:rStyle w:val="699"/>
          <w:sz w:val="28"/>
          <w:szCs w:val="28"/>
        </w:rPr>
        <w:t xml:space="preserve">в сфере противодействия коррупции</w:t>
      </w:r>
      <w:r>
        <w:rPr>
          <w:rStyle w:val="699"/>
          <w:sz w:val="28"/>
          <w:szCs w:val="28"/>
        </w:rPr>
        <w:t xml:space="preserve"> и внесены соответствующие изменения.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П</w:t>
      </w:r>
      <w:r>
        <w:rPr>
          <w:rStyle w:val="699"/>
          <w:sz w:val="28"/>
          <w:szCs w:val="28"/>
        </w:rPr>
        <w:t xml:space="preserve">роведен анализ сведений, содержащихся в личных делах гражданских служащих</w:t>
      </w:r>
      <w:r>
        <w:rPr>
          <w:rStyle w:val="699"/>
          <w:sz w:val="28"/>
          <w:szCs w:val="28"/>
        </w:rPr>
        <w:t xml:space="preserve"> Управления</w:t>
      </w:r>
      <w:r>
        <w:rPr>
          <w:rStyle w:val="699"/>
          <w:sz w:val="28"/>
          <w:szCs w:val="28"/>
        </w:rPr>
        <w:t xml:space="preserve">, замещающих должности категории «руководители».  Несоблюдение ограничений по вопросу близкого родства или свойства с гражданскими служащими</w:t>
      </w:r>
      <w:r>
        <w:rPr>
          <w:rStyle w:val="699"/>
          <w:sz w:val="28"/>
          <w:szCs w:val="28"/>
        </w:rPr>
        <w:t xml:space="preserve"> Управления</w:t>
      </w:r>
      <w:r>
        <w:rPr>
          <w:rStyle w:val="699"/>
          <w:sz w:val="28"/>
          <w:szCs w:val="28"/>
        </w:rPr>
        <w:t xml:space="preserve">, непосредственно подчиненными или подконтрольными одного из них другому, не выявлено.    </w:t>
      </w:r>
      <w:r>
        <w:rPr>
          <w:rStyle w:val="699"/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Проведен анализ </w:t>
      </w:r>
      <w:r>
        <w:rPr>
          <w:sz w:val="28"/>
          <w:szCs w:val="28"/>
        </w:rPr>
        <w:t xml:space="preserve">сведений </w:t>
      </w:r>
      <w:r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отсутстви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 регистрации в Едином государственном р</w:t>
      </w:r>
      <w:r>
        <w:rPr>
          <w:sz w:val="28"/>
          <w:szCs w:val="28"/>
        </w:rPr>
        <w:t xml:space="preserve">еестре юридических лиц, Едином государственном реестре индивидуальных предпринимателей, в качестве налогоплательщика налога на профессиональный доход (самозанятого) на сайте Межрегиональной инспекции Федеральной налоговой службы России гражданских служащих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, </w:t>
      </w:r>
      <w:r>
        <w:rPr>
          <w:rStyle w:val="699"/>
          <w:sz w:val="28"/>
          <w:szCs w:val="28"/>
        </w:rPr>
        <w:t xml:space="preserve">замещающих должности категории «руководители». Конфликт интересов не установлен.</w:t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Обеспечен</w:t>
      </w:r>
      <w:r>
        <w:rPr>
          <w:rStyle w:val="699"/>
          <w:sz w:val="28"/>
          <w:szCs w:val="28"/>
        </w:rPr>
        <w:t xml:space="preserve"> </w:t>
      </w:r>
      <w:r>
        <w:rPr>
          <w:rStyle w:val="699"/>
          <w:sz w:val="28"/>
          <w:szCs w:val="28"/>
        </w:rPr>
        <w:t xml:space="preserve">контрол</w:t>
      </w:r>
      <w:r>
        <w:rPr>
          <w:rStyle w:val="699"/>
          <w:sz w:val="28"/>
          <w:szCs w:val="28"/>
        </w:rPr>
        <w:t xml:space="preserve">ь</w:t>
      </w:r>
      <w:r>
        <w:rPr>
          <w:rStyle w:val="699"/>
          <w:sz w:val="28"/>
          <w:szCs w:val="28"/>
        </w:rPr>
        <w:t xml:space="preserve"> своевременного представления сведений</w:t>
      </w:r>
      <w:r>
        <w:rPr>
          <w:rStyle w:val="699"/>
          <w:sz w:val="28"/>
          <w:szCs w:val="28"/>
        </w:rPr>
        <w:t xml:space="preserve"> о доходах, расходах, об имуществе и обязательствах имущественного характера (далее – сведения о доходах)</w:t>
      </w:r>
      <w:r>
        <w:rPr>
          <w:rStyle w:val="699"/>
          <w:sz w:val="28"/>
          <w:szCs w:val="28"/>
        </w:rPr>
        <w:t xml:space="preserve">.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В установленный законодательством Российской Федерации срок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237 гражданских служащих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представили 521 справку о доходах, расходах, об имуществе и обязательствах имущественного характер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 на себя и членов своей семьи (супруг(а), несовершеннолетние дети). Уточненные сведения о доходах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одного месяца после окончания вышеуказанного срока от гражданских служащих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не поступ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ли.</w:t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rStyle w:val="699"/>
          <w:sz w:val="28"/>
          <w:szCs w:val="28"/>
        </w:rPr>
      </w:pPr>
      <w:r>
        <w:rPr>
          <w:sz w:val="28"/>
          <w:szCs w:val="28"/>
        </w:rPr>
        <w:t xml:space="preserve">В результате перевода гражданских служащих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на должно</w:t>
      </w:r>
      <w:r>
        <w:rPr>
          <w:sz w:val="28"/>
          <w:szCs w:val="28"/>
        </w:rPr>
        <w:t xml:space="preserve">сти, включенные в Перечень должностей, 6 гражданских служащих представили 14 справок о доходах, расходах, об имуществе и обязательствах имущественного характера (далее – справки о доходах) на себя и членов своей семьи (супруг(а), несовершеннолетние дети). 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П</w:t>
      </w:r>
      <w:r>
        <w:rPr>
          <w:rStyle w:val="699"/>
          <w:sz w:val="28"/>
          <w:szCs w:val="28"/>
        </w:rPr>
        <w:t xml:space="preserve">роведен анализ справок о доходах за отчетный 2024 год и за три года, предшествующих отчетному периоду (2021-2023), представленных гражданскими служащими Управления.</w:t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bCs/>
          <w:sz w:val="28"/>
          <w:szCs w:val="28"/>
        </w:rPr>
      </w:pPr>
      <w:r>
        <w:rPr>
          <w:rStyle w:val="699"/>
          <w:sz w:val="28"/>
          <w:szCs w:val="28"/>
        </w:rPr>
        <w:t xml:space="preserve">По результатам анализ</w:t>
      </w:r>
      <w:r>
        <w:rPr>
          <w:rStyle w:val="699"/>
          <w:sz w:val="28"/>
          <w:szCs w:val="28"/>
        </w:rPr>
        <w:t xml:space="preserve">а</w:t>
      </w:r>
      <w:r>
        <w:rPr>
          <w:rStyle w:val="699"/>
          <w:sz w:val="28"/>
          <w:szCs w:val="28"/>
        </w:rPr>
        <w:t xml:space="preserve"> сведений о доходах 22 гражданских служащих </w:t>
      </w:r>
      <w:r>
        <w:rPr>
          <w:rStyle w:val="699"/>
          <w:sz w:val="28"/>
          <w:szCs w:val="28"/>
        </w:rPr>
        <w:t xml:space="preserve">Управления </w:t>
      </w:r>
      <w:r>
        <w:rPr>
          <w:rStyle w:val="699"/>
          <w:sz w:val="28"/>
          <w:szCs w:val="28"/>
        </w:rPr>
        <w:t xml:space="preserve">представили сведения о доходах с </w:t>
      </w:r>
      <w:r>
        <w:rPr>
          <w:rStyle w:val="699"/>
          <w:sz w:val="28"/>
          <w:szCs w:val="28"/>
        </w:rPr>
        <w:t xml:space="preserve">нарушения</w:t>
      </w:r>
      <w:r>
        <w:rPr>
          <w:rStyle w:val="699"/>
          <w:sz w:val="28"/>
          <w:szCs w:val="28"/>
        </w:rPr>
        <w:t xml:space="preserve">ми: </w:t>
      </w:r>
      <w:r>
        <w:rPr>
          <w:rStyle w:val="699"/>
          <w:sz w:val="28"/>
          <w:szCs w:val="28"/>
        </w:rPr>
        <w:t xml:space="preserve">в отношении 19 гражданских </w:t>
      </w:r>
      <w:r>
        <w:rPr>
          <w:rStyle w:val="699"/>
          <w:sz w:val="28"/>
          <w:szCs w:val="28"/>
        </w:rPr>
        <w:t xml:space="preserve"> служащих Управления с</w:t>
      </w:r>
      <w:r>
        <w:rPr>
          <w:rStyle w:val="699"/>
          <w:sz w:val="28"/>
          <w:szCs w:val="28"/>
        </w:rPr>
        <w:t xml:space="preserve">итуация расценена как несущественный проступок</w:t>
      </w:r>
      <w:r>
        <w:rPr>
          <w:rStyle w:val="699"/>
          <w:sz w:val="28"/>
          <w:szCs w:val="28"/>
        </w:rPr>
        <w:t xml:space="preserve">; </w:t>
      </w:r>
      <w:r>
        <w:rPr>
          <w:bCs/>
          <w:sz w:val="28"/>
          <w:szCs w:val="28"/>
        </w:rPr>
        <w:t xml:space="preserve">1 гражданского служащего</w:t>
      </w:r>
      <w:r>
        <w:rPr>
          <w:bCs/>
          <w:sz w:val="28"/>
          <w:szCs w:val="28"/>
        </w:rPr>
        <w:t xml:space="preserve"> Управления</w:t>
      </w:r>
      <w:r>
        <w:rPr>
          <w:bCs/>
          <w:sz w:val="28"/>
          <w:szCs w:val="28"/>
        </w:rPr>
        <w:t xml:space="preserve"> – </w:t>
      </w:r>
      <w:r>
        <w:rPr>
          <w:rStyle w:val="699"/>
          <w:sz w:val="28"/>
          <w:szCs w:val="28"/>
        </w:rPr>
        <w:t xml:space="preserve">малозначительный</w:t>
      </w:r>
      <w:r>
        <w:rPr>
          <w:bCs/>
          <w:sz w:val="28"/>
          <w:szCs w:val="28"/>
        </w:rPr>
        <w:t xml:space="preserve"> проступок</w:t>
      </w:r>
      <w:r>
        <w:rPr>
          <w:bCs/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основания для инициирования проведения проверки достоверности и полноты сведений о доходах отсутствуют; </w:t>
      </w:r>
      <w:r>
        <w:rPr>
          <w:bCs/>
          <w:sz w:val="28"/>
          <w:szCs w:val="28"/>
        </w:rPr>
        <w:t xml:space="preserve">2 гражданских служащих</w:t>
      </w:r>
      <w:r>
        <w:rPr>
          <w:bCs/>
          <w:sz w:val="28"/>
          <w:szCs w:val="28"/>
        </w:rPr>
        <w:t xml:space="preserve"> Управления</w:t>
      </w:r>
      <w:r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образу</w:t>
      </w:r>
      <w:r>
        <w:rPr>
          <w:bCs/>
          <w:sz w:val="28"/>
          <w:szCs w:val="28"/>
        </w:rPr>
        <w:t xml:space="preserve">ют</w:t>
      </w:r>
      <w:r>
        <w:rPr>
          <w:bCs/>
          <w:sz w:val="28"/>
          <w:szCs w:val="28"/>
        </w:rPr>
        <w:t xml:space="preserve"> коррупционное </w:t>
      </w:r>
      <w:r>
        <w:rPr>
          <w:bCs/>
          <w:sz w:val="28"/>
          <w:szCs w:val="28"/>
        </w:rPr>
        <w:t xml:space="preserve">правонарушение, принято решение о проведении </w:t>
      </w:r>
      <w:r>
        <w:rPr>
          <w:bCs/>
          <w:sz w:val="28"/>
          <w:szCs w:val="28"/>
        </w:rPr>
        <w:t xml:space="preserve">проверки достоверности и полноты сведений о доходах в</w:t>
      </w:r>
      <w:r>
        <w:rPr>
          <w:sz w:val="28"/>
          <w:szCs w:val="28"/>
          <w:shd w:val="clear" w:color="auto" w:fill="ffffff"/>
        </w:rPr>
        <w:t xml:space="preserve"> соответствии с Указом Президента Российской Федерации от 21 сентября 2009 г. № 1065 </w:t>
      </w:r>
      <w:r>
        <w:rPr>
          <w:sz w:val="28"/>
          <w:szCs w:val="28"/>
          <w:shd w:val="clear" w:color="auto" w:fill="ffffff"/>
        </w:rPr>
        <w:t xml:space="preserve">"О проверке достоверности и полноты сведений, представляемых гражданами, п</w:t>
      </w:r>
      <w:r>
        <w:rPr>
          <w:sz w:val="28"/>
          <w:szCs w:val="28"/>
          <w:shd w:val="clear" w:color="auto" w:fill="ffffff"/>
        </w:rPr>
        <w:t xml:space="preserve">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</w:t>
      </w:r>
      <w:r>
        <w:rPr>
          <w:sz w:val="28"/>
          <w:szCs w:val="28"/>
          <w:shd w:val="clear" w:color="auto" w:fill="ffffff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В отношении 2 гражданских служащих Управления проведены проверки </w:t>
      </w:r>
      <w:r>
        <w:rPr>
          <w:rStyle w:val="699"/>
          <w:sz w:val="28"/>
          <w:szCs w:val="28"/>
        </w:rPr>
        <w:t xml:space="preserve">достоверности и полноты сведений о доход</w:t>
      </w:r>
      <w:r>
        <w:rPr>
          <w:rStyle w:val="699"/>
          <w:sz w:val="28"/>
          <w:szCs w:val="28"/>
        </w:rPr>
        <w:t xml:space="preserve">ах за отчетный период, 2024 год и за два года, предшествующих отчетному периоду (далее – проверки). По результатам проверок вопросы о предоставлении гражданскими служащими Управления недостоверных и неполных сведений о доходах рассматривались на Комиссии. </w:t>
      </w:r>
      <w:r>
        <w:rPr>
          <w:rStyle w:val="699"/>
          <w:sz w:val="28"/>
          <w:szCs w:val="28"/>
        </w:rPr>
        <w:t xml:space="preserve">Ру</w:t>
      </w:r>
      <w:r>
        <w:rPr>
          <w:rStyle w:val="699"/>
          <w:sz w:val="28"/>
          <w:szCs w:val="28"/>
        </w:rPr>
        <w:t xml:space="preserve">ководителем Управления принято решение о наложении взыскани</w:t>
      </w:r>
      <w:r>
        <w:rPr>
          <w:rStyle w:val="699"/>
          <w:sz w:val="28"/>
          <w:szCs w:val="28"/>
        </w:rPr>
        <w:t xml:space="preserve">й</w:t>
      </w:r>
      <w:r>
        <w:rPr>
          <w:rStyle w:val="699"/>
          <w:sz w:val="28"/>
          <w:szCs w:val="28"/>
        </w:rPr>
        <w:t xml:space="preserve"> в виде замечания</w:t>
      </w:r>
      <w:r>
        <w:rPr>
          <w:rStyle w:val="699"/>
          <w:sz w:val="28"/>
          <w:szCs w:val="28"/>
        </w:rPr>
        <w:t xml:space="preserve"> и выговора.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rStyle w:val="699"/>
          <w:sz w:val="28"/>
          <w:szCs w:val="28"/>
        </w:rPr>
        <w:t xml:space="preserve">В соответствии с Указом Президента Российской Федерации </w:t>
      </w:r>
      <w:r>
        <w:rPr>
          <w:rStyle w:val="699"/>
          <w:sz w:val="28"/>
          <w:szCs w:val="28"/>
        </w:rPr>
        <w:br w:type="textWrapping" w:clear="all"/>
      </w:r>
      <w:r>
        <w:rPr>
          <w:rStyle w:val="699"/>
          <w:sz w:val="28"/>
          <w:szCs w:val="28"/>
        </w:rPr>
        <w:t xml:space="preserve">от 10 октября 2024 г. № 870 «</w:t>
      </w:r>
      <w:r>
        <w:rPr>
          <w:sz w:val="28"/>
          <w:szCs w:val="28"/>
        </w:rPr>
        <w:t xml:space="preserve">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актуализации» </w:t>
      </w:r>
      <w:r>
        <w:rPr>
          <w:sz w:val="28"/>
          <w:szCs w:val="28"/>
        </w:rPr>
        <w:t xml:space="preserve">утверждена новая форма анкеты для поступления на государственную службу Российской Федерации и муниципальную службу Российской Федерации </w:t>
        <w:br w:type="textWrapping" w:clear="all"/>
        <w:t xml:space="preserve">и форма сообщения об изменении сведений, содержащихся в анкете. 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Гражданскими служащими Управления в </w:t>
      </w:r>
      <w:r>
        <w:rPr>
          <w:sz w:val="28"/>
          <w:szCs w:val="28"/>
        </w:rPr>
        <w:t xml:space="preserve">установленный </w:t>
      </w:r>
      <w:r>
        <w:rPr>
          <w:sz w:val="28"/>
          <w:szCs w:val="28"/>
        </w:rPr>
        <w:t xml:space="preserve">срок представлены актуализированные </w:t>
      </w:r>
      <w:r>
        <w:rPr>
          <w:sz w:val="28"/>
          <w:szCs w:val="28"/>
        </w:rPr>
        <w:t xml:space="preserve">сообщения</w:t>
      </w:r>
      <w:r>
        <w:rPr>
          <w:sz w:val="28"/>
          <w:szCs w:val="28"/>
        </w:rPr>
        <w:t xml:space="preserve"> об изменении </w:t>
      </w:r>
      <w:r>
        <w:rPr>
          <w:sz w:val="28"/>
          <w:szCs w:val="28"/>
        </w:rPr>
        <w:t xml:space="preserve">сведений, содержащихся в </w:t>
      </w:r>
      <w:r>
        <w:rPr>
          <w:sz w:val="28"/>
          <w:szCs w:val="28"/>
        </w:rPr>
        <w:t xml:space="preserve">анкет</w:t>
      </w:r>
      <w:r>
        <w:rPr>
          <w:sz w:val="28"/>
          <w:szCs w:val="28"/>
        </w:rPr>
        <w:t xml:space="preserve">ах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предотвращения конфликта интересов проведена работа по установлению родственных и свойственных связях гражданских служащих Управления, а также граждан при поступлении на гражданскую службу в Управление.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Конфликт интересов не установлен.</w:t>
      </w:r>
      <w:r>
        <w:rPr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В целях антикоррупционного просвещения и соблюдения требований к служебному поведению гражданских служащих Управления проведены занятия по ант</w:t>
      </w:r>
      <w:r>
        <w:rPr>
          <w:rStyle w:val="699"/>
          <w:sz w:val="28"/>
          <w:szCs w:val="28"/>
        </w:rPr>
        <w:t xml:space="preserve">икоррупционному просвещению гражданских служащих Управления. Доведены разъяснения в целях надлежащего исполнения законодательства Российской Федерации о государственной гражданской службе и противодействия коррупции в части представления сведений о доходах</w:t>
      </w:r>
      <w:r>
        <w:rPr>
          <w:rStyle w:val="699"/>
          <w:sz w:val="28"/>
          <w:szCs w:val="28"/>
        </w:rPr>
        <w:t xml:space="preserve">.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Граждане, поступившие на гражданскую службу в 2025 году</w:t>
      </w:r>
      <w:r>
        <w:rPr>
          <w:rStyle w:val="699"/>
          <w:sz w:val="28"/>
          <w:szCs w:val="28"/>
        </w:rPr>
        <w:t xml:space="preserve"> в количестве 1</w:t>
      </w:r>
      <w:r>
        <w:rPr>
          <w:rStyle w:val="699"/>
          <w:sz w:val="28"/>
          <w:szCs w:val="28"/>
        </w:rPr>
        <w:t xml:space="preserve">7</w:t>
      </w:r>
      <w:r>
        <w:rPr>
          <w:rStyle w:val="699"/>
          <w:sz w:val="28"/>
          <w:szCs w:val="28"/>
        </w:rPr>
        <w:t xml:space="preserve"> человек</w:t>
      </w:r>
      <w:r>
        <w:rPr>
          <w:rStyle w:val="699"/>
          <w:sz w:val="28"/>
          <w:szCs w:val="28"/>
        </w:rPr>
        <w:t xml:space="preserve">, ознакомлены под роспись с нормативными документами, регламентирующими вопросы предупреждения и противодействия коррупции в Управлении.</w:t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rStyle w:val="699"/>
          <w:sz w:val="28"/>
          <w:szCs w:val="28"/>
        </w:rPr>
      </w:pPr>
      <w:r>
        <w:rPr>
          <w:rStyle w:val="699"/>
          <w:sz w:val="28"/>
          <w:szCs w:val="28"/>
        </w:rPr>
        <w:t xml:space="preserve">Проведен</w:t>
      </w:r>
      <w:r>
        <w:rPr>
          <w:rStyle w:val="699"/>
          <w:sz w:val="28"/>
          <w:szCs w:val="28"/>
        </w:rPr>
        <w:t xml:space="preserve">а оценка</w:t>
      </w:r>
      <w:r>
        <w:rPr>
          <w:rStyle w:val="699"/>
          <w:sz w:val="28"/>
          <w:szCs w:val="28"/>
        </w:rPr>
        <w:t xml:space="preserve"> коррупционных рисков, возникающих при реализации Управлением установленных функций и перечня должностей, замещение которых связано с коррупционными рисками</w:t>
      </w:r>
      <w:r>
        <w:rPr>
          <w:rStyle w:val="699"/>
          <w:sz w:val="28"/>
          <w:szCs w:val="28"/>
        </w:rPr>
        <w:t xml:space="preserve">.</w:t>
      </w:r>
      <w:r>
        <w:rPr>
          <w:rStyle w:val="699"/>
          <w:sz w:val="28"/>
          <w:szCs w:val="28"/>
        </w:rPr>
      </w:r>
      <w:r>
        <w:rPr>
          <w:rStyle w:val="699"/>
          <w:sz w:val="28"/>
          <w:szCs w:val="28"/>
        </w:rPr>
      </w:r>
    </w:p>
    <w:p>
      <w:pPr>
        <w:pStyle w:val="700"/>
        <w:ind w:left="0" w:firstLine="709"/>
        <w:jc w:val="both"/>
        <w:rPr>
          <w:sz w:val="28"/>
          <w:szCs w:val="28"/>
        </w:rPr>
      </w:pPr>
      <w:r>
        <w:rPr>
          <w:rStyle w:val="699"/>
          <w:sz w:val="28"/>
          <w:szCs w:val="28"/>
        </w:rPr>
        <w:t xml:space="preserve">На</w:t>
      </w:r>
      <w:r>
        <w:rPr>
          <w:rStyle w:val="699"/>
          <w:sz w:val="28"/>
          <w:szCs w:val="28"/>
        </w:rPr>
        <w:t xml:space="preserve"> заседании Комиссии</w:t>
      </w:r>
      <w:r>
        <w:rPr>
          <w:rStyle w:val="699"/>
          <w:sz w:val="28"/>
          <w:szCs w:val="28"/>
        </w:rPr>
        <w:t xml:space="preserve"> </w:t>
      </w:r>
      <w:r>
        <w:rPr>
          <w:rStyle w:val="699"/>
          <w:sz w:val="28"/>
          <w:szCs w:val="28"/>
        </w:rPr>
        <w:t xml:space="preserve"> </w:t>
      </w:r>
      <w:r>
        <w:rPr>
          <w:sz w:val="28"/>
          <w:szCs w:val="28"/>
        </w:rPr>
        <w:t xml:space="preserve">уточнен Перечень должностей в Управлении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исполнение должностных обязанностей по которым предусматривает осуществление контрольных и надзорных мероприятий, </w:t>
      </w:r>
      <w:r>
        <w:rPr>
          <w:sz w:val="28"/>
          <w:szCs w:val="28"/>
        </w:rPr>
        <w:t xml:space="preserve">включенных</w:t>
      </w:r>
      <w:r>
        <w:rPr>
          <w:sz w:val="28"/>
          <w:szCs w:val="28"/>
        </w:rPr>
        <w:t xml:space="preserve"> в приказ Управления от 25 декабря 2024 г. № 415 «О наделении сотрудников отделов Управления Федер</w:t>
      </w:r>
      <w:r>
        <w:rPr>
          <w:sz w:val="28"/>
          <w:szCs w:val="28"/>
        </w:rPr>
        <w:t xml:space="preserve">ального казначейства по Челябинской области и отделов, созданных для осуществления функций Управления Федерального казначейства по Челябинской области на соответствующей территории, полномочиями по работе в единой информационной системе в сфере закупок» и </w:t>
      </w:r>
      <w:r>
        <w:rPr>
          <w:sz w:val="28"/>
          <w:szCs w:val="28"/>
        </w:rPr>
        <w:t xml:space="preserve">осуществление </w:t>
      </w:r>
      <w:r>
        <w:rPr>
          <w:sz w:val="28"/>
          <w:szCs w:val="28"/>
        </w:rPr>
        <w:t xml:space="preserve">полномочи</w:t>
      </w:r>
      <w:r>
        <w:rPr>
          <w:sz w:val="28"/>
          <w:szCs w:val="28"/>
        </w:rPr>
        <w:t xml:space="preserve">й</w:t>
      </w:r>
      <w:r>
        <w:rPr>
          <w:sz w:val="28"/>
          <w:szCs w:val="28"/>
        </w:rPr>
        <w:t xml:space="preserve"> организации, доступные пользователю:</w:t>
      </w:r>
      <w:r>
        <w:rPr>
          <w:sz w:val="28"/>
          <w:szCs w:val="28"/>
        </w:rPr>
      </w:r>
    </w:p>
    <w:p>
      <w:pPr>
        <w:pStyle w:val="7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 (за исключением контрольного органа в сфере закупок), уполномоченный на осуществление контроля (проверки) информации и докуме</w:t>
      </w:r>
      <w:r>
        <w:rPr>
          <w:sz w:val="28"/>
          <w:szCs w:val="28"/>
        </w:rPr>
        <w:t xml:space="preserve">нтов, подлежащих контролю (проверке)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бюджетным законодательством Российской Федерации;</w:t>
      </w:r>
      <w:r>
        <w:rPr>
          <w:sz w:val="28"/>
          <w:szCs w:val="28"/>
        </w:rPr>
      </w:r>
    </w:p>
    <w:p>
      <w:pPr>
        <w:pStyle w:val="70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 внутреннего государственного (муниципального) финансового контроля.</w:t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>
        <w:rPr>
          <w:rStyle w:val="699"/>
          <w:sz w:val="28"/>
          <w:szCs w:val="28"/>
        </w:rPr>
        <w:t xml:space="preserve">обеспечения доступа граждан и институтов гражданского общества к информации об антикоррупционной деятельности Управления </w:t>
      </w:r>
      <w:r>
        <w:rPr>
          <w:sz w:val="28"/>
          <w:szCs w:val="28"/>
        </w:rPr>
        <w:t xml:space="preserve">проведен мониторинг размещения на официальном сайте Управления в информационно-телекоммуникационной сети «Интернет» информации об антикоррупционной деятельности.</w:t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Подразделы, </w:t>
      </w:r>
      <w:r>
        <w:rPr>
          <w:sz w:val="28"/>
          <w:szCs w:val="28"/>
          <w:shd w:val="clear" w:color="auto" w:fill="ffffff"/>
        </w:rPr>
        <w:t xml:space="preserve">посвященные вопросам противодействия коррупции,</w:t>
      </w:r>
      <w:r>
        <w:rPr>
          <w:sz w:val="28"/>
          <w:szCs w:val="28"/>
        </w:rPr>
        <w:t xml:space="preserve"> соответствуют требованиям, предусмотренным </w:t>
      </w:r>
      <w:r>
        <w:rPr>
          <w:rStyle w:val="699"/>
          <w:sz w:val="28"/>
          <w:szCs w:val="28"/>
        </w:rPr>
        <w:t xml:space="preserve">приказом Министерства труда и социальной защиты Российской Федерации от 7 октября 2013 г. № 530н </w:t>
        <w:br w:type="textWrapping" w:clear="all"/>
        <w:t xml:space="preserve">«</w:t>
      </w:r>
      <w:r>
        <w:rPr>
          <w:sz w:val="28"/>
          <w:szCs w:val="28"/>
          <w:shd w:val="clear" w:color="auto" w:fill="ffffff"/>
        </w:rPr>
        <w:t xml:space="preserve">О требованиях к размещению и наполнению подразделов, посвященных вопросам противодействия коррупции, официальных сайтов федеральны</w:t>
      </w:r>
      <w:r>
        <w:rPr>
          <w:sz w:val="28"/>
          <w:szCs w:val="28"/>
          <w:shd w:val="clear" w:color="auto" w:fill="ffffff"/>
        </w:rPr>
        <w:t xml:space="preserve">х государственных органов, Центрального банка Российской Федерации,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 (компаний)</w:t>
      </w:r>
      <w:r>
        <w:rPr>
          <w:sz w:val="28"/>
          <w:szCs w:val="28"/>
          <w:shd w:val="clear" w:color="auto" w:fill="ffffff"/>
        </w:rPr>
        <w:t xml:space="preserve">, иных организаций, созданных на основании федеральных законов, и требованиях к должностям, замещение которых влечет за собой размещение сведений о доходах, расходах, об имуществе и обязательствах имущественного характера» (с изменением </w:t>
        <w:br/>
        <w:t xml:space="preserve">от 26 июля 2018 г.</w:t>
      </w:r>
      <w:r>
        <w:rPr>
          <w:sz w:val="28"/>
          <w:szCs w:val="28"/>
          <w:shd w:val="clear" w:color="auto" w:fill="ffffff"/>
        </w:rPr>
        <w:t xml:space="preserve"> № 490н</w:t>
      </w:r>
      <w:r>
        <w:rPr>
          <w:sz w:val="28"/>
          <w:szCs w:val="28"/>
          <w:shd w:val="clear" w:color="auto" w:fill="ffffff"/>
        </w:rPr>
        <w:t xml:space="preserve">).</w:t>
      </w:r>
      <w:r>
        <w:rPr>
          <w:sz w:val="28"/>
          <w:szCs w:val="28"/>
          <w:shd w:val="clear" w:color="auto" w:fill="ffffff"/>
        </w:rPr>
      </w:r>
    </w:p>
    <w:p>
      <w:pPr>
        <w:pStyle w:val="68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оперативного реагирования на возможные факты коррупции в Управлении или нарушение требований к служебному поведению гражданских служащих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осуществляется прием электронных сообщений на официальном сайте Управления с последующей регистрацией и обязательной постановкой на контроль. В</w:t>
      </w:r>
      <w:r>
        <w:rPr>
          <w:sz w:val="28"/>
          <w:szCs w:val="28"/>
        </w:rPr>
        <w:t xml:space="preserve"> разделе «Противодействие коррупции» размещена информация о телефоне доверия Федерального казначейства по вопросам противодействия коррупции. Обращения от граждан и организаций принимаются путем личного обращения, на бумажном носителе и в электронном виде.</w:t>
      </w:r>
      <w:r>
        <w:rPr>
          <w:sz w:val="28"/>
          <w:szCs w:val="28"/>
        </w:rPr>
      </w:r>
    </w:p>
    <w:p>
      <w:pPr>
        <w:pStyle w:val="704"/>
        <w:ind w:firstLine="709"/>
        <w:jc w:val="both"/>
        <w:spacing w:line="240" w:lineRule="auto"/>
        <w:widowControl/>
        <w:rPr>
          <w:sz w:val="28"/>
          <w:szCs w:val="28"/>
        </w:rPr>
      </w:pPr>
      <w:r>
        <w:rPr>
          <w:sz w:val="28"/>
          <w:szCs w:val="28"/>
        </w:rPr>
        <w:t xml:space="preserve">Обращения от граждан и организаций о фактах проявления коррупции или нарушения требований к служебному поведению гражданских служащих Управления не поступали.</w:t>
      </w:r>
      <w:r>
        <w:rPr>
          <w:sz w:val="28"/>
          <w:szCs w:val="28"/>
        </w:rPr>
      </w:r>
    </w:p>
    <w:p>
      <w:pPr>
        <w:pStyle w:val="697"/>
        <w:ind w:firstLine="709"/>
        <w:jc w:val="both"/>
        <w:spacing w:line="240" w:lineRule="auto"/>
        <w:widowControl/>
        <w:rPr>
          <w:b/>
          <w:sz w:val="28"/>
          <w:szCs w:val="28"/>
        </w:rPr>
      </w:pPr>
      <w:r>
        <w:rPr>
          <w:sz w:val="28"/>
          <w:szCs w:val="28"/>
        </w:rPr>
        <w:t xml:space="preserve">Публикации в средствах массовой информации и социальных сетях о фактах проявления коррупции гражданскими служащими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 xml:space="preserve"> отсутствуют.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68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9"/>
      <w:rPr>
        <w:rStyle w:val="695"/>
      </w:rPr>
      <w:framePr w:wrap="around" w:vAnchor="text" w:hAnchor="margin" w:xAlign="center" w:y="1"/>
    </w:pPr>
    <w:r>
      <w:rPr>
        <w:rStyle w:val="695"/>
      </w:rPr>
      <w:fldChar w:fldCharType="begin"/>
    </w:r>
    <w:r>
      <w:rPr>
        <w:rStyle w:val="695"/>
      </w:rPr>
      <w:instrText xml:space="preserve">PAGE  </w:instrText>
    </w:r>
    <w:r>
      <w:rPr>
        <w:rStyle w:val="695"/>
      </w:rPr>
      <w:fldChar w:fldCharType="separate"/>
    </w:r>
    <w:r>
      <w:rPr>
        <w:rStyle w:val="695"/>
      </w:rPr>
      <w:t xml:space="preserve">4</w:t>
    </w:r>
    <w:r>
      <w:rPr>
        <w:rStyle w:val="695"/>
      </w:rPr>
      <w:fldChar w:fldCharType="end"/>
    </w:r>
    <w:r>
      <w:rPr>
        <w:rStyle w:val="695"/>
      </w:rPr>
    </w:r>
    <w:r>
      <w:rPr>
        <w:rStyle w:val="695"/>
      </w:rPr>
    </w:r>
  </w:p>
  <w:p>
    <w:pPr>
      <w:pStyle w:val="689"/>
      <w:jc w:val="center"/>
      <w:rPr>
        <w:sz w:val="18"/>
        <w:szCs w:val="18"/>
      </w:rPr>
    </w:pPr>
    <w:r>
      <w:rPr>
        <w:sz w:val="18"/>
        <w:szCs w:val="18"/>
      </w:rPr>
    </w:r>
    <w:r>
      <w:rPr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9"/>
      <w:rPr>
        <w:rStyle w:val="695"/>
      </w:rPr>
      <w:framePr w:wrap="around" w:vAnchor="text" w:hAnchor="margin" w:xAlign="center" w:y="1"/>
    </w:pPr>
    <w:r>
      <w:rPr>
        <w:rStyle w:val="695"/>
      </w:rPr>
      <w:fldChar w:fldCharType="begin"/>
    </w:r>
    <w:r>
      <w:rPr>
        <w:rStyle w:val="695"/>
      </w:rPr>
      <w:instrText xml:space="preserve">PAGE  </w:instrText>
    </w:r>
    <w:r>
      <w:rPr>
        <w:rStyle w:val="695"/>
      </w:rPr>
      <w:fldChar w:fldCharType="end"/>
    </w:r>
    <w:r>
      <w:rPr>
        <w:rStyle w:val="695"/>
      </w:rPr>
    </w:r>
    <w:r>
      <w:rPr>
        <w:rStyle w:val="695"/>
      </w:rPr>
    </w:r>
  </w:p>
  <w:p>
    <w:pPr>
      <w:pStyle w:val="68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  <w:tabs>
          <w:tab w:val="num" w:pos="106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1305" w:hanging="1305"/>
      </w:pPr>
    </w:lvl>
    <w:lvl w:ilvl="1">
      <w:start w:val="3"/>
      <w:numFmt w:val="decimalZero"/>
      <w:isLgl w:val="false"/>
      <w:suff w:val="tab"/>
      <w:lvlText w:val="%1.%2"/>
      <w:lvlJc w:val="left"/>
      <w:pPr>
        <w:ind w:left="1305" w:hanging="1305"/>
      </w:pPr>
    </w:lvl>
    <w:lvl w:ilvl="2">
      <w:start w:val="2016"/>
      <w:numFmt w:val="decimal"/>
      <w:isLgl w:val="false"/>
      <w:suff w:val="tab"/>
      <w:lvlText w:val="%1.%2.%3"/>
      <w:lvlJc w:val="left"/>
      <w:pPr>
        <w:ind w:left="1305" w:hanging="130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305" w:hanging="130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305" w:hanging="130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</w:pPr>
    </w:lvl>
  </w:abstractNum>
  <w:abstractNum w:abstractNumId="5">
    <w:multiLevelType w:val="hybridMultilevel"/>
    <w:lvl w:ilvl="0">
      <w:start w:val="4"/>
      <w:numFmt w:val="decimalZero"/>
      <w:isLgl w:val="false"/>
      <w:suff w:val="tab"/>
      <w:lvlText w:val="%1"/>
      <w:lvlJc w:val="left"/>
      <w:pPr>
        <w:ind w:left="1245" w:hanging="1245"/>
        <w:tabs>
          <w:tab w:val="num" w:pos="1245" w:leader="none"/>
        </w:tabs>
      </w:pPr>
    </w:lvl>
    <w:lvl w:ilvl="1">
      <w:start w:val="3"/>
      <w:numFmt w:val="decimalZero"/>
      <w:isLgl w:val="false"/>
      <w:suff w:val="tab"/>
      <w:lvlText w:val="%1.%2"/>
      <w:lvlJc w:val="left"/>
      <w:pPr>
        <w:ind w:left="1245" w:hanging="1245"/>
        <w:tabs>
          <w:tab w:val="num" w:pos="1245" w:leader="none"/>
        </w:tabs>
      </w:pPr>
    </w:lvl>
    <w:lvl w:ilvl="2">
      <w:start w:val="2015"/>
      <w:numFmt w:val="decimal"/>
      <w:isLgl w:val="false"/>
      <w:suff w:val="tab"/>
      <w:lvlText w:val="%1.%2.%3"/>
      <w:lvlJc w:val="left"/>
      <w:pPr>
        <w:ind w:left="1245" w:hanging="1245"/>
        <w:tabs>
          <w:tab w:val="num" w:pos="1245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245" w:hanging="1245"/>
        <w:tabs>
          <w:tab w:val="num" w:pos="1245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245" w:hanging="1245"/>
        <w:tabs>
          <w:tab w:val="num" w:pos="1245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  <w:tabs>
          <w:tab w:val="num" w:pos="216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789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4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6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2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9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669" w:hanging="180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02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49" w:hanging="2160"/>
      </w:pPr>
    </w:lvl>
  </w:abstractNum>
  <w:abstractNum w:abstractNumId="7">
    <w:multiLevelType w:val="hybridMultilevel"/>
    <w:lvl w:ilvl="0">
      <w:start w:val="29"/>
      <w:numFmt w:val="decimal"/>
      <w:isLgl w:val="false"/>
      <w:suff w:val="tab"/>
      <w:lvlText w:val="%1"/>
      <w:lvlJc w:val="left"/>
      <w:pPr>
        <w:ind w:left="1305" w:hanging="1305"/>
      </w:pPr>
    </w:lvl>
    <w:lvl w:ilvl="1">
      <w:start w:val="2"/>
      <w:numFmt w:val="decimalZero"/>
      <w:isLgl w:val="false"/>
      <w:suff w:val="tab"/>
      <w:lvlText w:val="%1.%2"/>
      <w:lvlJc w:val="left"/>
      <w:pPr>
        <w:ind w:left="1305" w:hanging="1305"/>
      </w:pPr>
    </w:lvl>
    <w:lvl w:ilvl="2">
      <w:start w:val="2016"/>
      <w:numFmt w:val="decimal"/>
      <w:isLgl w:val="false"/>
      <w:suff w:val="tab"/>
      <w:lvlText w:val="%1.%2.%3"/>
      <w:lvlJc w:val="left"/>
      <w:pPr>
        <w:ind w:left="1305" w:hanging="130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305" w:hanging="130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305" w:hanging="130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</w:p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</w:lvl>
  </w:abstractNum>
  <w:abstractNum w:abstractNumId="9">
    <w:multiLevelType w:val="hybridMultilevel"/>
    <w:lvl w:ilvl="0">
      <w:start w:val="19"/>
      <w:numFmt w:val="decimal"/>
      <w:isLgl w:val="false"/>
      <w:suff w:val="tab"/>
      <w:lvlText w:val="%1"/>
      <w:lvlJc w:val="left"/>
      <w:pPr>
        <w:ind w:left="1245" w:hanging="1245"/>
        <w:tabs>
          <w:tab w:val="num" w:pos="1245" w:leader="none"/>
        </w:tabs>
      </w:pPr>
    </w:lvl>
    <w:lvl w:ilvl="1">
      <w:start w:val="2"/>
      <w:numFmt w:val="decimalZero"/>
      <w:isLgl w:val="false"/>
      <w:suff w:val="tab"/>
      <w:lvlText w:val="%1.%2"/>
      <w:lvlJc w:val="left"/>
      <w:pPr>
        <w:ind w:left="1245" w:hanging="1245"/>
        <w:tabs>
          <w:tab w:val="num" w:pos="1245" w:leader="none"/>
        </w:tabs>
      </w:pPr>
    </w:lvl>
    <w:lvl w:ilvl="2">
      <w:start w:val="2015"/>
      <w:numFmt w:val="decimal"/>
      <w:isLgl w:val="false"/>
      <w:suff w:val="tab"/>
      <w:lvlText w:val="%1.%2.%3"/>
      <w:lvlJc w:val="left"/>
      <w:pPr>
        <w:ind w:left="1245" w:hanging="1245"/>
        <w:tabs>
          <w:tab w:val="num" w:pos="1245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245" w:hanging="1245"/>
        <w:tabs>
          <w:tab w:val="num" w:pos="1245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245" w:hanging="1245"/>
        <w:tabs>
          <w:tab w:val="num" w:pos="1245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  <w:tabs>
          <w:tab w:val="num" w:pos="2160" w:leader="none"/>
        </w:tabs>
      </w:pPr>
    </w:lvl>
  </w:abstractNum>
  <w:abstractNum w:abstractNumId="10">
    <w:multiLevelType w:val="hybridMultilevel"/>
    <w:lvl w:ilvl="0">
      <w:start w:val="10"/>
      <w:numFmt w:val="decimal"/>
      <w:isLgl w:val="false"/>
      <w:suff w:val="tab"/>
      <w:lvlText w:val="%1"/>
      <w:lvlJc w:val="left"/>
      <w:pPr>
        <w:ind w:left="1545" w:hanging="1545"/>
        <w:tabs>
          <w:tab w:val="num" w:pos="1545" w:leader="none"/>
        </w:tabs>
      </w:pPr>
    </w:lvl>
    <w:lvl w:ilvl="1">
      <w:start w:val="7"/>
      <w:numFmt w:val="decimalZero"/>
      <w:isLgl w:val="false"/>
      <w:suff w:val="tab"/>
      <w:lvlText w:val="%1.%2"/>
      <w:lvlJc w:val="left"/>
      <w:pPr>
        <w:ind w:left="1545" w:hanging="1545"/>
        <w:tabs>
          <w:tab w:val="num" w:pos="1545" w:leader="none"/>
        </w:tabs>
      </w:pPr>
    </w:lvl>
    <w:lvl w:ilvl="2">
      <w:start w:val="2014"/>
      <w:numFmt w:val="decimal"/>
      <w:isLgl w:val="false"/>
      <w:suff w:val="tab"/>
      <w:lvlText w:val="%1.%2.%3"/>
      <w:lvlJc w:val="left"/>
      <w:pPr>
        <w:ind w:left="1545" w:hanging="1545"/>
        <w:tabs>
          <w:tab w:val="num" w:pos="1545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45" w:hanging="1545"/>
        <w:tabs>
          <w:tab w:val="num" w:pos="1545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545" w:hanging="1545"/>
        <w:tabs>
          <w:tab w:val="num" w:pos="1545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545" w:hanging="1545"/>
        <w:tabs>
          <w:tab w:val="num" w:pos="1545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545" w:hanging="1545"/>
        <w:tabs>
          <w:tab w:val="num" w:pos="1545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  <w:tabs>
          <w:tab w:val="num" w:pos="2160" w:leader="none"/>
        </w:tabs>
      </w:pPr>
    </w:lvl>
  </w:abstractNum>
  <w:abstractNum w:abstractNumId="11">
    <w:multiLevelType w:val="hybridMultilevel"/>
    <w:lvl w:ilvl="0">
      <w:start w:val="1"/>
      <w:numFmt w:val="decimalZero"/>
      <w:isLgl w:val="false"/>
      <w:suff w:val="tab"/>
      <w:lvlText w:val="%1"/>
      <w:lvlJc w:val="left"/>
      <w:pPr>
        <w:ind w:left="1305" w:hanging="1305"/>
      </w:pPr>
    </w:lvl>
    <w:lvl w:ilvl="1">
      <w:start w:val="3"/>
      <w:numFmt w:val="decimalZero"/>
      <w:isLgl w:val="false"/>
      <w:suff w:val="tab"/>
      <w:lvlText w:val="%1.%2"/>
      <w:lvlJc w:val="left"/>
      <w:pPr>
        <w:ind w:left="1305" w:hanging="1305"/>
      </w:pPr>
    </w:lvl>
    <w:lvl w:ilvl="2">
      <w:start w:val="2016"/>
      <w:numFmt w:val="decimal"/>
      <w:isLgl w:val="false"/>
      <w:suff w:val="tab"/>
      <w:lvlText w:val="%1.%2.%3"/>
      <w:lvlJc w:val="left"/>
      <w:pPr>
        <w:ind w:left="1305" w:hanging="130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305" w:hanging="130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305" w:hanging="130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</w:pPr>
    </w:lvl>
  </w:abstractNum>
  <w:abstractNum w:abstractNumId="12">
    <w:multiLevelType w:val="hybridMultilevel"/>
    <w:lvl w:ilvl="0">
      <w:start w:val="20"/>
      <w:numFmt w:val="decimal"/>
      <w:isLgl w:val="false"/>
      <w:suff w:val="tab"/>
      <w:lvlText w:val="%1"/>
      <w:lvlJc w:val="left"/>
      <w:pPr>
        <w:ind w:left="1245" w:hanging="1245"/>
        <w:tabs>
          <w:tab w:val="num" w:pos="1245" w:leader="none"/>
        </w:tabs>
      </w:pPr>
    </w:lvl>
    <w:lvl w:ilvl="1">
      <w:start w:val="2"/>
      <w:numFmt w:val="decimalZero"/>
      <w:isLgl w:val="false"/>
      <w:suff w:val="tab"/>
      <w:lvlText w:val="%1.%2"/>
      <w:lvlJc w:val="left"/>
      <w:pPr>
        <w:ind w:left="1245" w:hanging="1245"/>
        <w:tabs>
          <w:tab w:val="num" w:pos="1245" w:leader="none"/>
        </w:tabs>
      </w:pPr>
    </w:lvl>
    <w:lvl w:ilvl="2">
      <w:start w:val="2015"/>
      <w:numFmt w:val="decimal"/>
      <w:isLgl w:val="false"/>
      <w:suff w:val="tab"/>
      <w:lvlText w:val="%1.%2.%3"/>
      <w:lvlJc w:val="left"/>
      <w:pPr>
        <w:ind w:left="1245" w:hanging="1245"/>
        <w:tabs>
          <w:tab w:val="num" w:pos="1245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245" w:hanging="1245"/>
        <w:tabs>
          <w:tab w:val="num" w:pos="1245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245" w:hanging="1245"/>
        <w:tabs>
          <w:tab w:val="num" w:pos="1245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  <w:tabs>
          <w:tab w:val="num" w:pos="21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2"/>
      <w:numFmt w:val="decimalZero"/>
      <w:isLgl w:val="false"/>
      <w:suff w:val="tab"/>
      <w:lvlText w:val="%1"/>
      <w:lvlJc w:val="left"/>
      <w:pPr>
        <w:ind w:left="1245" w:hanging="1245"/>
        <w:tabs>
          <w:tab w:val="num" w:pos="1245" w:leader="none"/>
        </w:tabs>
      </w:pPr>
    </w:lvl>
    <w:lvl w:ilvl="1">
      <w:start w:val="3"/>
      <w:numFmt w:val="decimalZero"/>
      <w:isLgl w:val="false"/>
      <w:suff w:val="tab"/>
      <w:lvlText w:val="%1.%2"/>
      <w:lvlJc w:val="left"/>
      <w:pPr>
        <w:ind w:left="1245" w:hanging="1245"/>
        <w:tabs>
          <w:tab w:val="num" w:pos="1245" w:leader="none"/>
        </w:tabs>
      </w:pPr>
    </w:lvl>
    <w:lvl w:ilvl="2">
      <w:start w:val="2015"/>
      <w:numFmt w:val="decimal"/>
      <w:isLgl w:val="false"/>
      <w:suff w:val="tab"/>
      <w:lvlText w:val="%1.%2.%3"/>
      <w:lvlJc w:val="left"/>
      <w:pPr>
        <w:ind w:left="1245" w:hanging="1245"/>
        <w:tabs>
          <w:tab w:val="num" w:pos="1245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245" w:hanging="1245"/>
        <w:tabs>
          <w:tab w:val="num" w:pos="1245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245" w:hanging="1245"/>
        <w:tabs>
          <w:tab w:val="num" w:pos="1245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  <w:tabs>
          <w:tab w:val="num" w:pos="144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num" w:pos="144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  <w:tabs>
          <w:tab w:val="num" w:pos="180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160" w:hanging="2160"/>
        <w:tabs>
          <w:tab w:val="num" w:pos="2160" w:leader="none"/>
        </w:tabs>
      </w:pPr>
    </w:lvl>
  </w:abstractNum>
  <w:abstractNum w:abstractNumId="1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4"/>
  </w:num>
  <w:num w:numId="5">
    <w:abstractNumId w:val="2"/>
  </w:num>
  <w:num w:numId="6">
    <w:abstractNumId w:val="15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  <w:num w:numId="11">
    <w:abstractNumId w:val="7"/>
  </w:num>
  <w:num w:numId="12">
    <w:abstractNumId w:val="11"/>
  </w:num>
  <w:num w:numId="13">
    <w:abstractNumId w:val="4"/>
  </w:num>
  <w:num w:numId="14">
    <w:abstractNumId w:val="6"/>
  </w:num>
  <w:num w:numId="15">
    <w:abstractNumId w:val="13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284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84"/>
    <w:next w:val="68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4"/>
    <w:next w:val="68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4"/>
    <w:next w:val="68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4"/>
    <w:next w:val="68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4"/>
    <w:next w:val="68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4"/>
    <w:next w:val="68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4"/>
    <w:next w:val="68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4"/>
    <w:next w:val="68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4"/>
    <w:next w:val="68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8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4"/>
    <w:next w:val="68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84"/>
    <w:next w:val="68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84"/>
    <w:next w:val="68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4"/>
    <w:next w:val="68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8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8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84"/>
    <w:next w:val="68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8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8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84"/>
    <w:next w:val="68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4"/>
    <w:next w:val="68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4"/>
    <w:next w:val="68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4"/>
    <w:next w:val="68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4"/>
    <w:next w:val="68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4"/>
    <w:next w:val="68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4"/>
    <w:next w:val="68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4"/>
    <w:next w:val="68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4"/>
    <w:next w:val="68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4"/>
    <w:next w:val="684"/>
    <w:uiPriority w:val="99"/>
    <w:unhideWhenUsed/>
    <w:pPr>
      <w:spacing w:after="0" w:afterAutospacing="0"/>
    </w:pPr>
  </w:style>
  <w:style w:type="paragraph" w:styleId="684" w:default="1">
    <w:name w:val="Normal"/>
    <w:next w:val="684"/>
    <w:link w:val="684"/>
    <w:qFormat/>
    <w:rPr>
      <w:sz w:val="24"/>
      <w:szCs w:val="24"/>
      <w:lang w:val="ru-RU" w:eastAsia="ru-RU" w:bidi="ar-SA"/>
    </w:rPr>
  </w:style>
  <w:style w:type="character" w:styleId="685">
    <w:name w:val="Основной шрифт абзаца"/>
    <w:next w:val="685"/>
    <w:link w:val="684"/>
    <w:uiPriority w:val="1"/>
    <w:semiHidden/>
    <w:unhideWhenUsed/>
  </w:style>
  <w:style w:type="table" w:styleId="686">
    <w:name w:val="Обычная таблица"/>
    <w:next w:val="686"/>
    <w:link w:val="684"/>
    <w:uiPriority w:val="99"/>
    <w:semiHidden/>
    <w:unhideWhenUsed/>
    <w:qFormat/>
    <w:tblPr/>
  </w:style>
  <w:style w:type="numbering" w:styleId="687">
    <w:name w:val="Нет списка"/>
    <w:next w:val="687"/>
    <w:link w:val="684"/>
    <w:uiPriority w:val="99"/>
    <w:semiHidden/>
    <w:unhideWhenUsed/>
  </w:style>
  <w:style w:type="paragraph" w:styleId="688">
    <w:name w:val="Текст выноски"/>
    <w:basedOn w:val="684"/>
    <w:next w:val="688"/>
    <w:link w:val="684"/>
    <w:semiHidden/>
    <w:rPr>
      <w:rFonts w:ascii="Tahoma" w:hAnsi="Tahoma" w:cs="Tahoma"/>
      <w:sz w:val="16"/>
      <w:szCs w:val="16"/>
    </w:rPr>
  </w:style>
  <w:style w:type="paragraph" w:styleId="689">
    <w:name w:val="Верхний колонтитул"/>
    <w:basedOn w:val="684"/>
    <w:next w:val="689"/>
    <w:link w:val="684"/>
    <w:pPr>
      <w:tabs>
        <w:tab w:val="center" w:pos="4677" w:leader="none"/>
        <w:tab w:val="right" w:pos="9355" w:leader="none"/>
      </w:tabs>
    </w:pPr>
  </w:style>
  <w:style w:type="paragraph" w:styleId="690">
    <w:name w:val="Нижний колонтитул"/>
    <w:basedOn w:val="684"/>
    <w:next w:val="690"/>
    <w:link w:val="684"/>
    <w:pPr>
      <w:tabs>
        <w:tab w:val="center" w:pos="4677" w:leader="none"/>
        <w:tab w:val="right" w:pos="9355" w:leader="none"/>
      </w:tabs>
    </w:pPr>
  </w:style>
  <w:style w:type="paragraph" w:styleId="691">
    <w:name w:val="ConsPlusNormal"/>
    <w:next w:val="691"/>
    <w:link w:val="684"/>
    <w:rPr>
      <w:rFonts w:ascii="Arial" w:hAnsi="Arial" w:cs="Arial"/>
      <w:lang w:val="ru-RU" w:eastAsia="ru-RU" w:bidi="ar-SA"/>
    </w:rPr>
  </w:style>
  <w:style w:type="paragraph" w:styleId="692">
    <w:name w:val="Основной текст с отступом"/>
    <w:basedOn w:val="684"/>
    <w:next w:val="692"/>
    <w:link w:val="684"/>
    <w:pPr>
      <w:ind w:left="283"/>
      <w:spacing w:after="120"/>
    </w:pPr>
  </w:style>
  <w:style w:type="table" w:styleId="693">
    <w:name w:val="Сетка таблицы"/>
    <w:basedOn w:val="686"/>
    <w:next w:val="693"/>
    <w:link w:val="684"/>
    <w:tblPr/>
  </w:style>
  <w:style w:type="character" w:styleId="694">
    <w:name w:val="Гипертекстовая ссылка"/>
    <w:next w:val="694"/>
    <w:link w:val="684"/>
    <w:rPr>
      <w:color w:val="106bbe"/>
    </w:rPr>
  </w:style>
  <w:style w:type="character" w:styleId="695">
    <w:name w:val="Номер страницы"/>
    <w:basedOn w:val="685"/>
    <w:next w:val="695"/>
    <w:link w:val="684"/>
  </w:style>
  <w:style w:type="character" w:styleId="696">
    <w:name w:val="Оceсf1нedоeeвe2нedоeeйe9 шf8рf0иe8фf4тf2 аe0бe1зe7аe0цf6аe0"/>
    <w:next w:val="696"/>
    <w:link w:val="684"/>
    <w:uiPriority w:val="99"/>
    <w:rPr>
      <w:color w:val="000000"/>
    </w:rPr>
  </w:style>
  <w:style w:type="paragraph" w:styleId="697">
    <w:name w:val="Style5"/>
    <w:basedOn w:val="684"/>
    <w:next w:val="697"/>
    <w:link w:val="684"/>
    <w:uiPriority w:val="99"/>
    <w:pPr>
      <w:spacing w:line="317" w:lineRule="exact"/>
      <w:widowControl w:val="off"/>
    </w:pPr>
  </w:style>
  <w:style w:type="paragraph" w:styleId="698">
    <w:name w:val="Style3"/>
    <w:basedOn w:val="684"/>
    <w:next w:val="698"/>
    <w:link w:val="684"/>
    <w:uiPriority w:val="99"/>
    <w:pPr>
      <w:widowControl w:val="off"/>
    </w:pPr>
  </w:style>
  <w:style w:type="character" w:styleId="699">
    <w:name w:val="Font Style15"/>
    <w:next w:val="699"/>
    <w:link w:val="684"/>
    <w:uiPriority w:val="99"/>
    <w:rPr>
      <w:rFonts w:ascii="Times New Roman" w:hAnsi="Times New Roman" w:cs="Times New Roman"/>
      <w:sz w:val="24"/>
      <w:szCs w:val="24"/>
    </w:rPr>
  </w:style>
  <w:style w:type="paragraph" w:styleId="700">
    <w:name w:val="Абзац списка"/>
    <w:basedOn w:val="684"/>
    <w:next w:val="700"/>
    <w:link w:val="684"/>
    <w:uiPriority w:val="34"/>
    <w:qFormat/>
    <w:pPr>
      <w:ind w:left="708"/>
    </w:pPr>
  </w:style>
  <w:style w:type="paragraph" w:styleId="701">
    <w:name w:val="Style11"/>
    <w:basedOn w:val="684"/>
    <w:next w:val="701"/>
    <w:link w:val="684"/>
    <w:uiPriority w:val="99"/>
    <w:pPr>
      <w:widowControl w:val="off"/>
    </w:pPr>
  </w:style>
  <w:style w:type="character" w:styleId="702">
    <w:name w:val="Font Style14"/>
    <w:next w:val="702"/>
    <w:link w:val="684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703">
    <w:name w:val="Гиперссылка"/>
    <w:next w:val="703"/>
    <w:link w:val="684"/>
    <w:uiPriority w:val="99"/>
    <w:unhideWhenUsed/>
    <w:rPr>
      <w:rFonts w:cs="Times New Roman"/>
      <w:color w:val="0000ff"/>
      <w:u w:val="single"/>
    </w:rPr>
  </w:style>
  <w:style w:type="paragraph" w:styleId="704">
    <w:name w:val="Style1"/>
    <w:basedOn w:val="684"/>
    <w:next w:val="704"/>
    <w:link w:val="684"/>
    <w:uiPriority w:val="99"/>
    <w:pPr>
      <w:spacing w:line="298" w:lineRule="exact"/>
      <w:widowControl w:val="off"/>
    </w:pPr>
  </w:style>
  <w:style w:type="character" w:styleId="1044" w:default="1">
    <w:name w:val="Default Paragraph Font"/>
    <w:uiPriority w:val="1"/>
    <w:semiHidden/>
    <w:unhideWhenUsed/>
  </w:style>
  <w:style w:type="numbering" w:styleId="1045" w:default="1">
    <w:name w:val="No List"/>
    <w:uiPriority w:val="99"/>
    <w:semiHidden/>
    <w:unhideWhenUsed/>
  </w:style>
  <w:style w:type="table" w:styleId="104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fsfk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GEG</dc:creator>
  <cp:lastModifiedBy>Шакурова Эльвира Иршатовна</cp:lastModifiedBy>
  <cp:revision>113</cp:revision>
  <dcterms:created xsi:type="dcterms:W3CDTF">2014-07-02T09:03:00Z</dcterms:created>
  <dcterms:modified xsi:type="dcterms:W3CDTF">2026-01-21T05:08:29Z</dcterms:modified>
  <cp:version>983040</cp:version>
</cp:coreProperties>
</file>