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23"/>
        <w:gridCol w:w="242"/>
        <w:gridCol w:w="4790"/>
      </w:tblGrid>
      <w:tr>
        <w:tblPrEx/>
        <w:trPr/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974"/>
            </w:pPr>
            <w:r>
              <w:t xml:space="preserve">УТВЕРЖДАЮ</w:t>
            </w:r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243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/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243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2447"/>
        </w:trPr>
        <w:tc>
          <w:tcPr>
            <w:tcW w:w="2447" w:type="pct"/>
            <w:textDirection w:val="lrTb"/>
            <w:noWrap w:val="false"/>
          </w:tcPr>
          <w:p>
            <w:pPr>
              <w:pStyle w:val="974"/>
            </w:pPr>
            <w:r>
              <w:t xml:space="preserve">От Федерального казначейства</w:t>
            </w:r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>
              <w:t xml:space="preserve">______________ /                             /</w:t>
            </w:r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>
              <w:t xml:space="preserve">«___» _____</w:t>
            </w:r>
            <w:r>
              <w:rPr>
                <w:lang w:val="en-US"/>
              </w:rPr>
              <w:t xml:space="preserve">____</w:t>
            </w:r>
            <w:r>
              <w:t xml:space="preserve">_______ 20__ г</w:t>
            </w:r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2430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388"/>
        </w:trPr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2430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1238"/>
        </w:trPr>
        <w:tc>
          <w:tcPr>
            <w:gridSpan w:val="3"/>
            <w:shd w:val="clear" w:color="auto" w:fill="auto"/>
            <w:tcW w:w="5000" w:type="pct"/>
            <w:vAlign w:val="center"/>
            <w:textDirection w:val="lrTb"/>
            <w:noWrap w:val="false"/>
          </w:tcPr>
          <w:p>
            <w:pPr>
              <w:pStyle w:val="976"/>
            </w:pPr>
            <w:r/>
            <w:fldSimple w:instr="REF FullNameSystem  \* MERGEFORMAT ">
              <w:r>
                <w:t xml:space="preserve">Автоматизированная система Федерального казначейства</w:t>
              </w:r>
            </w:fldSimple>
            <w:r/>
            <w:r/>
          </w:p>
        </w:tc>
      </w:tr>
      <w:tr>
        <w:tblPrEx/>
        <w:trPr>
          <w:trHeight w:val="1734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7"/>
            </w:pPr>
            <w:r/>
            <w:fldSimple w:instr="REF DocType  \* MERGEFORMAT ">
              <w:r>
                <w:t xml:space="preserve">Обучающие материалы</w:t>
              </w:r>
            </w:fldSimple>
            <w:r>
              <w:t xml:space="preserve"> «</w:t>
            </w:r>
            <w:fldSimple w:instr="REF DocName  \* MERGEFORMAT ">
              <w:r>
                <w:t xml:space="preserve">Руководство по работе с «АРМ Разные участники ЭОД»</w:t>
              </w:r>
            </w:fldSimple>
            <w:r/>
            <w:r/>
          </w:p>
        </w:tc>
      </w:tr>
      <w:tr>
        <w:tblPrEx/>
        <w:trPr>
          <w:trHeight w:val="657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8"/>
            </w:pPr>
            <w:r/>
            <w:r/>
          </w:p>
        </w:tc>
      </w:tr>
      <w:tr>
        <w:tblPrEx/>
        <w:trPr>
          <w:trHeight w:val="647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6"/>
            </w:pPr>
            <w:r>
              <w:t xml:space="preserve">Лист утверждения</w:t>
            </w:r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>
              <w:t xml:space="preserve">Код документа: </w:t>
            </w: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>
              <w:t xml:space="preserve">54819512.09.01,00.ОМ.004-03.00 6</w:t>
            </w:r>
            <w:r>
              <w:fldChar w:fldCharType="end"/>
            </w:r>
            <w:r>
              <w:t xml:space="preserve">-ЛУ</w:t>
            </w:r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>
              <w:t xml:space="preserve">Государственный контракт</w:t>
            </w:r>
            <w:r>
              <w:t xml:space="preserve"> </w:t>
            </w:r>
            <w:r>
              <w:t xml:space="preserve">от 03.08.2023 № ФКУ0307/08/2023/РИС</w:t>
            </w:r>
            <w:r/>
          </w:p>
        </w:tc>
      </w:tr>
      <w:tr>
        <w:tblPrEx/>
        <w:trPr>
          <w:trHeight w:val="1222"/>
        </w:trPr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243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587"/>
        </w:trPr>
        <w:tc>
          <w:tcPr>
            <w:tcW w:w="2447" w:type="pct"/>
            <w:vAlign w:val="center"/>
            <w:textDirection w:val="lrTb"/>
            <w:noWrap w:val="false"/>
          </w:tcPr>
          <w:p>
            <w:pPr>
              <w:pStyle w:val="974"/>
            </w:pPr>
            <w:r>
              <w:t xml:space="preserve">СОГЛАСОВАНО</w:t>
            </w:r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2430" w:type="pct"/>
            <w:vAlign w:val="center"/>
            <w:textDirection w:val="lrTb"/>
            <w:noWrap w:val="false"/>
          </w:tcPr>
          <w:p>
            <w:pPr>
              <w:pStyle w:val="974"/>
            </w:pPr>
            <w:r>
              <w:t xml:space="preserve">СОГЛАСОВАНО</w:t>
            </w:r>
            <w:r/>
          </w:p>
        </w:tc>
      </w:tr>
      <w:tr>
        <w:tblPrEx/>
        <w:trPr>
          <w:trHeight w:val="835"/>
        </w:trPr>
        <w:tc>
          <w:tcPr>
            <w:tcW w:w="2447" w:type="pct"/>
            <w:textDirection w:val="lrTb"/>
            <w:noWrap w:val="false"/>
          </w:tcPr>
          <w:p>
            <w:pPr>
              <w:pStyle w:val="974"/>
            </w:pPr>
            <w:r>
              <w:t xml:space="preserve">От Федерального казенного</w:t>
            </w:r>
            <w:r/>
          </w:p>
          <w:p>
            <w:pPr>
              <w:pStyle w:val="974"/>
            </w:pPr>
            <w:r>
              <w:t xml:space="preserve">учреждения «Центр по обеспечению</w:t>
            </w:r>
            <w:r/>
          </w:p>
          <w:p>
            <w:pPr>
              <w:pStyle w:val="974"/>
            </w:pPr>
            <w:r>
              <w:t xml:space="preserve">деятельности Казначейства России»</w:t>
            </w:r>
            <w:r/>
          </w:p>
        </w:tc>
        <w:tc>
          <w:tcPr>
            <w:tcW w:w="123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2430" w:type="pct"/>
            <w:textDirection w:val="lrTb"/>
            <w:noWrap w:val="false"/>
          </w:tcPr>
          <w:p>
            <w:pPr>
              <w:pStyle w:val="974"/>
            </w:pPr>
            <w:r>
              <w:t xml:space="preserve">От OOO «ОТР</w:t>
            </w:r>
            <w:r>
              <w:t xml:space="preserve"> </w:t>
            </w:r>
            <w:r>
              <w:t xml:space="preserve">2000»</w:t>
            </w:r>
            <w:r/>
          </w:p>
          <w:p>
            <w:pPr>
              <w:pStyle w:val="974"/>
            </w:pPr>
            <w:r/>
            <w:r/>
          </w:p>
        </w:tc>
      </w:tr>
      <w:tr>
        <w:tblPrEx/>
        <w:trPr>
          <w:trHeight w:val="2335"/>
        </w:trPr>
        <w:tc>
          <w:tcPr>
            <w:tcW w:w="2447" w:type="pct"/>
            <w:textDirection w:val="lrTb"/>
            <w:noWrap w:val="false"/>
          </w:tcPr>
          <w:p>
            <w:pPr>
              <w:pStyle w:val="974"/>
            </w:pPr>
            <w:r/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>
              <w:t xml:space="preserve">______________ /                             /</w:t>
            </w:r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>
              <w:t xml:space="preserve">«___» _____</w:t>
            </w:r>
            <w:r>
              <w:rPr>
                <w:lang w:val="en-US"/>
              </w:rPr>
              <w:t xml:space="preserve">____</w:t>
            </w:r>
            <w:r>
              <w:t xml:space="preserve">_______ 20__ г</w:t>
            </w:r>
            <w:r/>
          </w:p>
        </w:tc>
        <w:tc>
          <w:tcPr>
            <w:tcW w:w="123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tcW w:w="2430" w:type="pct"/>
            <w:textDirection w:val="lrTb"/>
            <w:noWrap w:val="false"/>
          </w:tcPr>
          <w:p>
            <w:pPr>
              <w:pStyle w:val="974"/>
            </w:pPr>
            <w:r/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>
              <w:t xml:space="preserve">______________ /С. Ю. Манохин/</w:t>
            </w:r>
            <w:r/>
          </w:p>
          <w:p>
            <w:pPr>
              <w:pStyle w:val="974"/>
            </w:pPr>
            <w:r/>
            <w:r/>
          </w:p>
          <w:p>
            <w:pPr>
              <w:pStyle w:val="974"/>
            </w:pPr>
            <w:r>
              <w:t xml:space="preserve">«___» ____________ 20___ г.</w:t>
            </w:r>
            <w:r/>
          </w:p>
        </w:tc>
      </w:tr>
    </w:tbl>
    <w:p>
      <w:pPr>
        <w:pStyle w:val="974"/>
        <w:jc w:val="left"/>
        <w:sectPr>
          <w:headerReference w:type="default" r:id="rId9"/>
          <w:footerReference w:type="default" r:id="rId12"/>
          <w:footnotePr/>
          <w:endnotePr/>
          <w:type w:val="nextPage"/>
          <w:pgSz w:w="11907" w:h="16840" w:orient="portrait"/>
          <w:pgMar w:top="1134" w:right="567" w:bottom="851" w:left="1701" w:header="567" w:footer="567" w:gutter="0"/>
          <w:cols w:num="1" w:sep="0" w:space="708" w:equalWidth="1"/>
          <w:docGrid w:linePitch="360"/>
        </w:sectPr>
      </w:pPr>
      <w:r/>
      <w:r/>
    </w:p>
    <w:tbl>
      <w:tblPr>
        <w:tblW w:w="4996" w:type="pct"/>
        <w:tblLook w:val="0000" w:firstRow="0" w:lastRow="0" w:firstColumn="0" w:lastColumn="0" w:noHBand="0" w:noVBand="0"/>
      </w:tblPr>
      <w:tblGrid>
        <w:gridCol w:w="5520"/>
        <w:gridCol w:w="4085"/>
        <w:gridCol w:w="242"/>
      </w:tblGrid>
      <w:tr>
        <w:tblPrEx/>
        <w:trPr>
          <w:trHeight w:val="386"/>
        </w:trPr>
        <w:tc>
          <w:tcPr>
            <w:gridSpan w:val="2"/>
            <w:tcW w:w="4877" w:type="pct"/>
            <w:textDirection w:val="lrTb"/>
            <w:noWrap w:val="false"/>
          </w:tcPr>
          <w:p>
            <w:pPr>
              <w:pStyle w:val="974"/>
              <w:jc w:val="left"/>
            </w:pPr>
            <w:r>
              <w:t xml:space="preserve">УТВЕРЖДЕН</w:t>
            </w:r>
            <w:r/>
          </w:p>
        </w:tc>
        <w:tc>
          <w:tcPr>
            <w:tcW w:w="123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2712"/>
        </w:trPr>
        <w:tc>
          <w:tcPr>
            <w:gridSpan w:val="2"/>
            <w:tcW w:w="4877" w:type="pct"/>
            <w:textDirection w:val="lrTb"/>
            <w:noWrap w:val="false"/>
          </w:tcPr>
          <w:p>
            <w:pPr>
              <w:pStyle w:val="974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>
              <w:t xml:space="preserve">54819512.09.01,00.ОМ.004-03.00 6</w:t>
            </w:r>
            <w:r>
              <w:fldChar w:fldCharType="end"/>
            </w:r>
            <w:r>
              <w:t xml:space="preserve">-ЛУ</w:t>
            </w:r>
            <w:r/>
          </w:p>
        </w:tc>
        <w:tc>
          <w:tcPr>
            <w:tcW w:w="123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402"/>
        </w:trPr>
        <w:tc>
          <w:tcPr>
            <w:gridSpan w:val="3"/>
            <w:tcW w:w="5000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1252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6"/>
            </w:pPr>
            <w:r/>
            <w:fldSimple w:instr="REF FullNameSystem  \* MERGEFORMAT ">
              <w:r>
                <w:t xml:space="preserve">Автоматизированная система Федерального казначейства</w:t>
              </w:r>
            </w:fldSimple>
            <w:r/>
            <w:r/>
          </w:p>
        </w:tc>
      </w:tr>
      <w:tr>
        <w:tblPrEx/>
        <w:trPr>
          <w:trHeight w:val="1851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7"/>
            </w:pPr>
            <w:r/>
            <w:fldSimple w:instr="REF DocType  \* MERGEFORMAT ">
              <w:r>
                <w:t xml:space="preserve">Обучающие материалы</w:t>
              </w:r>
            </w:fldSimple>
            <w:r>
              <w:t xml:space="preserve"> «</w:t>
            </w:r>
            <w:fldSimple w:instr="REF DocName  \* MERGEFORMAT ">
              <w:r>
                <w:t xml:space="preserve">Руководство по работе с «АРМ Разные участники ЭОД»</w:t>
              </w:r>
            </w:fldSimple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8"/>
            </w:pPr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785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271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>
              <w:t xml:space="preserve">Код документа: </w:t>
            </w:r>
            <w:bookmarkStart w:id="0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>
              <w:t xml:space="preserve">54819512.09.01,00.ОМ.004-03.00 6</w:t>
            </w:r>
            <w:r>
              <w:fldChar w:fldCharType="end"/>
            </w:r>
            <w:bookmarkEnd w:id="0"/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/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>
              <w:t xml:space="preserve">Листов: </w:t>
            </w:r>
            <w:r>
              <w:t xml:space="preserve">79</w:t>
            </w:r>
            <w:r>
              <w:fldChar w:fldCharType="begin"/>
            </w:r>
            <w:r>
              <w:fldChar w:fldCharType="end"/>
            </w:r>
            <w:r/>
          </w:p>
        </w:tc>
      </w:tr>
      <w:tr>
        <w:tblPrEx/>
        <w:trPr>
          <w:trHeight w:val="1613"/>
        </w:trPr>
        <w:tc>
          <w:tcPr>
            <w:gridSpan w:val="3"/>
            <w:tcW w:w="5000" w:type="pct"/>
            <w:vAlign w:val="center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/>
        <w:tc>
          <w:tcPr>
            <w:tcW w:w="2803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gridSpan w:val="2"/>
            <w:tcW w:w="2197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/>
        <w:tc>
          <w:tcPr>
            <w:tcW w:w="2803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gridSpan w:val="2"/>
            <w:tcW w:w="2197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/>
        <w:tc>
          <w:tcPr>
            <w:tcW w:w="2803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gridSpan w:val="2"/>
            <w:tcW w:w="2197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  <w:tr>
        <w:tblPrEx/>
        <w:trPr>
          <w:trHeight w:val="106"/>
        </w:trPr>
        <w:tc>
          <w:tcPr>
            <w:tcW w:w="2803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  <w:tc>
          <w:tcPr>
            <w:gridSpan w:val="2"/>
            <w:tcW w:w="2197" w:type="pct"/>
            <w:textDirection w:val="lrTb"/>
            <w:noWrap w:val="false"/>
          </w:tcPr>
          <w:p>
            <w:pPr>
              <w:pStyle w:val="974"/>
            </w:pPr>
            <w:r/>
            <w:r/>
          </w:p>
        </w:tc>
      </w:tr>
    </w:tbl>
    <w:p>
      <w:pPr>
        <w:pStyle w:val="958"/>
      </w:pPr>
      <w:r/>
      <w:r/>
    </w:p>
    <w:p>
      <w:pPr>
        <w:pStyle w:val="958"/>
        <w:sectPr>
          <w:footnotePr/>
          <w:endnotePr/>
          <w:type w:val="nextPage"/>
          <w:pgSz w:w="11907" w:h="16840" w:orient="portrait"/>
          <w:pgMar w:top="1134" w:right="567" w:bottom="851" w:left="1701" w:header="567" w:footer="567" w:gutter="0"/>
          <w:cols w:num="1" w:sep="0" w:space="708" w:equalWidth="1"/>
          <w:docGrid w:linePitch="360"/>
        </w:sectPr>
      </w:pPr>
      <w:r/>
      <w:r/>
    </w:p>
    <w:p>
      <w:pPr>
        <w:pStyle w:val="1138"/>
      </w:pPr>
      <w:r>
        <w:t xml:space="preserve">Аннотация</w:t>
      </w:r>
      <w:r/>
    </w:p>
    <w:p>
      <w:pPr>
        <w:pStyle w:val="958"/>
      </w:pPr>
      <w:r>
        <w:t xml:space="preserve">Документ</w:t>
      </w:r>
      <w:r>
        <w:t xml:space="preserve"> </w:t>
      </w:r>
      <w:r>
        <w:t xml:space="preserve">создан для пр</w:t>
      </w:r>
      <w:r>
        <w:t xml:space="preserve">и</w:t>
      </w:r>
      <w:r>
        <w:t xml:space="preserve">кладного пр</w:t>
      </w:r>
      <w:r>
        <w:t xml:space="preserve">о</w:t>
      </w:r>
      <w:r>
        <w:t xml:space="preserve">граммного обеспечения </w:t>
      </w:r>
      <w:r>
        <w:t xml:space="preserve">«Система удаленного финансового документооборота» (</w:t>
      </w:r>
      <w:r>
        <w:t xml:space="preserve">ППО СУФД АСФК</w:t>
      </w:r>
      <w:r>
        <w:t xml:space="preserve">)</w:t>
      </w:r>
      <w:r>
        <w:t xml:space="preserve">,</w:t>
      </w:r>
      <w:r>
        <w:t xml:space="preserve"> </w:t>
      </w:r>
      <w:r>
        <w:t xml:space="preserve">обеспечивающе</w:t>
      </w:r>
      <w:r>
        <w:t xml:space="preserve">го</w:t>
      </w:r>
      <w:r>
        <w:t xml:space="preserve"> реализацию юридически знач</w:t>
      </w:r>
      <w:r>
        <w:t xml:space="preserve">и</w:t>
      </w:r>
      <w:r>
        <w:t xml:space="preserve">мого информационного обмена м</w:t>
      </w:r>
      <w:r>
        <w:t xml:space="preserve">ежду компонентами</w:t>
      </w:r>
      <w:r>
        <w:t xml:space="preserve"> автоматизированной си</w:t>
      </w:r>
      <w:r>
        <w:t xml:space="preserve">стемы Федерального казначейства</w:t>
      </w:r>
      <w:r>
        <w:t xml:space="preserve">. </w:t>
      </w:r>
      <w:r/>
    </w:p>
    <w:p>
      <w:pPr>
        <w:pStyle w:val="958"/>
      </w:pPr>
      <w:r>
        <w:t xml:space="preserve">Документ актуализирован на основании Государственного контракта от 03.08.2023 № ФКУ0307/08/2023/РИС.</w:t>
      </w:r>
      <w:r/>
    </w:p>
    <w:p>
      <w:pPr>
        <w:pStyle w:val="958"/>
      </w:pPr>
      <w:r>
        <w:t xml:space="preserve">Документ соответствует 7 версии ядра </w:t>
      </w:r>
      <w:r>
        <w:t xml:space="preserve">3</w:t>
      </w:r>
      <w:r>
        <w:t xml:space="preserve">2</w:t>
      </w:r>
      <w:r>
        <w:t xml:space="preserve">.</w:t>
      </w:r>
      <w:r>
        <w:t xml:space="preserve">12</w:t>
      </w:r>
      <w:r>
        <w:t xml:space="preserve">.</w:t>
      </w:r>
      <w:r>
        <w:t xml:space="preserve">0</w:t>
      </w:r>
      <w:r>
        <w:t xml:space="preserve"> версии программного обеспечения</w:t>
      </w:r>
      <w:r>
        <w:t xml:space="preserve">.</w:t>
      </w:r>
      <w:r/>
    </w:p>
    <w:p>
      <w:pPr>
        <w:pStyle w:val="959"/>
      </w:pPr>
      <w:r>
        <w:t xml:space="preserve">Документ относится к следующим подсистемам (компонентам, модулям) Автоматизированной системы Федерального казначейства:</w:t>
      </w:r>
      <w:r/>
    </w:p>
    <w:p>
      <w:pPr>
        <w:pStyle w:val="1137"/>
        <w:numPr>
          <w:ilvl w:val="0"/>
          <w:numId w:val="11"/>
        </w:numPr>
      </w:pPr>
      <w:r>
        <w:t xml:space="preserve">01,00 – подсистема «СУФД».</w:t>
      </w:r>
      <w:r/>
    </w:p>
    <w:p>
      <w:pPr>
        <w:pStyle w:val="959"/>
      </w:pPr>
      <w:r>
        <w:t xml:space="preserve">Перечень областей применения документа:</w:t>
      </w:r>
      <w:r/>
    </w:p>
    <w:p>
      <w:pPr>
        <w:pStyle w:val="1137"/>
      </w:pPr>
      <w:r>
        <w:t xml:space="preserve">6 – Внешние пользователи.</w:t>
      </w:r>
      <w:r/>
    </w:p>
    <w:p>
      <w:pPr>
        <w:pStyle w:val="964"/>
      </w:pPr>
      <w:r>
        <w:rPr>
          <w:b w:val="0"/>
          <w:caps w:val="0"/>
          <w:sz w:val="24"/>
        </w:rPr>
        <w:br w:type="page" w:clear="all"/>
      </w:r>
      <w:r>
        <w:t xml:space="preserve">Содержание</w:t>
      </w:r>
      <w:r/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tooltip="#_Toc146034890" w:anchor="_Toc146034890" w:history="1">
        <w:r>
          <w:rPr>
            <w:rStyle w:val="984"/>
          </w:rPr>
          <w:t xml:space="preserve">Перечень таблиц</w:t>
        </w:r>
        <w:r>
          <w:tab/>
        </w:r>
        <w:r>
          <w:fldChar w:fldCharType="begin"/>
        </w:r>
        <w:r>
          <w:instrText xml:space="preserve"> PAGEREF _Toc146034890 \h </w:instrText>
        </w:r>
        <w:r/>
        <w:r>
          <w:fldChar w:fldCharType="separate"/>
        </w:r>
        <w:r>
          <w:t xml:space="preserve">5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891" w:anchor="_Toc146034891" w:history="1">
        <w:r>
          <w:rPr>
            <w:rStyle w:val="984"/>
          </w:rPr>
          <w:t xml:space="preserve">Перечень рисунков</w:t>
        </w:r>
        <w:r>
          <w:tab/>
        </w:r>
        <w:r>
          <w:fldChar w:fldCharType="begin"/>
        </w:r>
        <w:r>
          <w:instrText xml:space="preserve"> PAGEREF _Toc146034891 \h </w:instrText>
        </w:r>
        <w:r/>
        <w:r>
          <w:fldChar w:fldCharType="separate"/>
        </w:r>
        <w:r>
          <w:t xml:space="preserve">6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892" w:anchor="_Toc146034892" w:history="1">
        <w:r>
          <w:rPr>
            <w:rStyle w:val="984"/>
          </w:rPr>
          <w:t xml:space="preserve">Перечень ссылочных документов</w:t>
        </w:r>
        <w:r>
          <w:tab/>
        </w:r>
        <w:r>
          <w:fldChar w:fldCharType="begin"/>
        </w:r>
        <w:r>
          <w:instrText xml:space="preserve"> PAGEREF _Toc146034892 \h </w:instrText>
        </w:r>
        <w:r/>
        <w:r>
          <w:fldChar w:fldCharType="separate"/>
        </w:r>
        <w:r>
          <w:t xml:space="preserve">8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893" w:anchor="_Toc146034893" w:history="1">
        <w:r>
          <w:rPr>
            <w:rStyle w:val="984"/>
          </w:rPr>
          <w:t xml:space="preserve">1.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984"/>
          </w:rPr>
          <w:t xml:space="preserve">Введение</w:t>
        </w:r>
        <w:r>
          <w:tab/>
        </w:r>
        <w:r>
          <w:fldChar w:fldCharType="begin"/>
        </w:r>
        <w:r>
          <w:instrText xml:space="preserve"> PAGEREF _Toc146034893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894" w:anchor="_Toc146034894" w:history="1">
        <w:r>
          <w:rPr>
            <w:rStyle w:val="984"/>
          </w:rPr>
          <w:t xml:space="preserve">1.1.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Область применения</w:t>
        </w:r>
        <w:r>
          <w:tab/>
        </w:r>
        <w:r>
          <w:fldChar w:fldCharType="begin"/>
        </w:r>
        <w:r>
          <w:instrText xml:space="preserve"> PAGEREF _Toc146034894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895" w:anchor="_Toc146034895" w:history="1">
        <w:r>
          <w:rPr>
            <w:rStyle w:val="984"/>
          </w:rPr>
          <w:t xml:space="preserve">1.2.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Краткое описание возможностей</w:t>
        </w:r>
        <w:r>
          <w:tab/>
        </w:r>
        <w:r>
          <w:fldChar w:fldCharType="begin"/>
        </w:r>
        <w:r>
          <w:instrText xml:space="preserve"> PAGEREF _Toc146034895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896" w:anchor="_Toc146034896" w:history="1">
        <w:r>
          <w:rPr>
            <w:rStyle w:val="984"/>
          </w:rPr>
          <w:t xml:space="preserve">1.3.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Уровень подготовки пользователя</w:t>
        </w:r>
        <w:r>
          <w:tab/>
        </w:r>
        <w:r>
          <w:fldChar w:fldCharType="begin"/>
        </w:r>
        <w:r>
          <w:instrText xml:space="preserve"> PAGEREF _Toc146034896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897" w:anchor="_Toc146034897" w:history="1">
        <w:r>
          <w:rPr>
            <w:rStyle w:val="984"/>
          </w:rPr>
          <w:t xml:space="preserve">1.4.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Список принятых терминов и сокращений</w:t>
        </w:r>
        <w:r>
          <w:tab/>
        </w:r>
        <w:r>
          <w:fldChar w:fldCharType="begin"/>
        </w:r>
        <w:r>
          <w:instrText xml:space="preserve"> PAGEREF _Toc146034897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898" w:anchor="_Toc146034898" w:history="1">
        <w:r>
          <w:rPr>
            <w:rStyle w:val="984"/>
          </w:rPr>
          <w:t xml:space="preserve">2.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984"/>
          </w:rPr>
          <w:t xml:space="preserve">Назначение и условия применения</w:t>
        </w:r>
        <w:r>
          <w:tab/>
        </w:r>
        <w:r>
          <w:fldChar w:fldCharType="begin"/>
        </w:r>
        <w:r>
          <w:instrText xml:space="preserve"> PAGEREF _Toc146034898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899" w:anchor="_Toc146034899" w:history="1">
        <w:r>
          <w:rPr>
            <w:rStyle w:val="984"/>
          </w:rPr>
          <w:t xml:space="preserve">2.1.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Виды деятельности, функции</w:t>
        </w:r>
        <w:r>
          <w:tab/>
        </w:r>
        <w:r>
          <w:fldChar w:fldCharType="begin"/>
        </w:r>
        <w:r>
          <w:instrText xml:space="preserve"> PAGEREF _Toc146034899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00" w:anchor="_Toc146034900" w:history="1">
        <w:r>
          <w:rPr>
            <w:rStyle w:val="984"/>
          </w:rPr>
          <w:t xml:space="preserve">2.2.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Программные и аппаратные требования к системе</w:t>
        </w:r>
        <w:r>
          <w:tab/>
        </w:r>
        <w:r>
          <w:fldChar w:fldCharType="begin"/>
        </w:r>
        <w:r>
          <w:instrText xml:space="preserve"> PAGEREF _Toc146034900 \h </w:instrText>
        </w:r>
        <w:r/>
        <w:r>
          <w:fldChar w:fldCharType="separate"/>
        </w:r>
        <w:r>
          <w:t xml:space="preserve">16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901" w:anchor="_Toc146034901" w:history="1">
        <w:r>
          <w:rPr>
            <w:rStyle w:val="984"/>
          </w:rPr>
          <w:t xml:space="preserve">3.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984"/>
          </w:rPr>
          <w:t xml:space="preserve">Подготовка к работе</w:t>
        </w:r>
        <w:r>
          <w:tab/>
        </w:r>
        <w:r>
          <w:fldChar w:fldCharType="begin"/>
        </w:r>
        <w:r>
          <w:instrText xml:space="preserve"> PAGEREF _Toc146034901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02" w:anchor="_Toc146034902" w:history="1">
        <w:r>
          <w:rPr>
            <w:rStyle w:val="984"/>
          </w:rPr>
          <w:t xml:space="preserve">3.1.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Порядок проверки работоспособности</w:t>
        </w:r>
        <w:r>
          <w:tab/>
        </w:r>
        <w:r>
          <w:fldChar w:fldCharType="begin"/>
        </w:r>
        <w:r>
          <w:instrText xml:space="preserve"> PAGEREF _Toc146034902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03" w:anchor="_Toc146034903" w:history="1">
        <w:r>
          <w:rPr>
            <w:rStyle w:val="984"/>
          </w:rPr>
          <w:t xml:space="preserve">3.2.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Справочники системы</w:t>
        </w:r>
        <w:r>
          <w:tab/>
        </w:r>
        <w:r>
          <w:fldChar w:fldCharType="begin"/>
        </w:r>
        <w:r>
          <w:instrText xml:space="preserve"> PAGEREF _Toc146034903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04" w:anchor="_Toc146034904" w:history="1">
        <w:r>
          <w:rPr>
            <w:rStyle w:val="984"/>
          </w:rPr>
          <w:t xml:space="preserve">3.3.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Функции системы</w:t>
        </w:r>
        <w:r>
          <w:tab/>
        </w:r>
        <w:r>
          <w:fldChar w:fldCharType="begin"/>
        </w:r>
        <w:r>
          <w:instrText xml:space="preserve"> PAGEREF _Toc146034904 \h </w:instrText>
        </w:r>
        <w:r/>
        <w:r>
          <w:fldChar w:fldCharType="separate"/>
        </w:r>
        <w:r>
          <w:t xml:space="preserve">17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05" w:anchor="_Toc146034905" w:history="1">
        <w:r>
          <w:rPr>
            <w:rStyle w:val="984"/>
          </w:rPr>
          <w:t xml:space="preserve">3.4.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Дополнительные настройки системы</w:t>
        </w:r>
        <w:r>
          <w:tab/>
        </w:r>
        <w:r>
          <w:fldChar w:fldCharType="begin"/>
        </w:r>
        <w:r>
          <w:instrText xml:space="preserve"> PAGEREF _Toc146034905 \h </w:instrText>
        </w:r>
        <w:r/>
        <w:r>
          <w:fldChar w:fldCharType="separate"/>
        </w:r>
        <w:r>
          <w:t xml:space="preserve">18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906" w:anchor="_Toc146034906" w:history="1">
        <w:r>
          <w:rPr>
            <w:rStyle w:val="984"/>
          </w:rPr>
          <w:t xml:space="preserve">4.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984"/>
          </w:rPr>
          <w:t xml:space="preserve">Основные сведения об интерфейсе программы, типовых операциях и приемах работы</w:t>
        </w:r>
        <w:r>
          <w:tab/>
        </w:r>
        <w:r>
          <w:fldChar w:fldCharType="begin"/>
        </w:r>
        <w:r>
          <w:instrText xml:space="preserve"> PAGEREF _Toc146034906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07" w:anchor="_Toc146034907" w:history="1">
        <w:r>
          <w:rPr>
            <w:rStyle w:val="984"/>
          </w:rPr>
          <w:t xml:space="preserve">4.1.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Основные элементы интерфейса</w:t>
        </w:r>
        <w:r>
          <w:tab/>
        </w:r>
        <w:r>
          <w:fldChar w:fldCharType="begin"/>
        </w:r>
        <w:r>
          <w:instrText xml:space="preserve"> PAGEREF _Toc146034907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08" w:anchor="_Toc146034908" w:history="1">
        <w:r>
          <w:rPr>
            <w:rStyle w:val="984"/>
          </w:rPr>
          <w:t xml:space="preserve">4.1.1.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Заголовок рабочего окна программы</w:t>
        </w:r>
        <w:r>
          <w:tab/>
        </w:r>
        <w:r>
          <w:fldChar w:fldCharType="begin"/>
        </w:r>
        <w:r>
          <w:instrText xml:space="preserve"> PAGEREF _Toc146034908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09" w:anchor="_Toc146034909" w:history="1">
        <w:r>
          <w:rPr>
            <w:rStyle w:val="984"/>
          </w:rPr>
          <w:t xml:space="preserve">4.1.2.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Строка навигации</w:t>
        </w:r>
        <w:r>
          <w:tab/>
        </w:r>
        <w:r>
          <w:fldChar w:fldCharType="begin"/>
        </w:r>
        <w:r>
          <w:instrText xml:space="preserve"> PAGEREF _Toc146034909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0" w:anchor="_Toc146034910" w:history="1">
        <w:r>
          <w:rPr>
            <w:rStyle w:val="984"/>
          </w:rPr>
          <w:t xml:space="preserve">4.1.3.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Поле выбора организации</w:t>
        </w:r>
        <w:r>
          <w:tab/>
        </w:r>
        <w:r>
          <w:fldChar w:fldCharType="begin"/>
        </w:r>
        <w:r>
          <w:instrText xml:space="preserve"> PAGEREF _Toc146034910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1" w:anchor="_Toc146034911" w:history="1">
        <w:r>
          <w:rPr>
            <w:rStyle w:val="984"/>
          </w:rPr>
          <w:t xml:space="preserve">4.1.4.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Переключатели содержимого панели навигации</w:t>
        </w:r>
        <w:r>
          <w:tab/>
        </w:r>
        <w:r>
          <w:fldChar w:fldCharType="begin"/>
        </w:r>
        <w:r>
          <w:instrText xml:space="preserve"> PAGEREF _Toc146034911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2" w:anchor="_Toc146034912" w:history="1">
        <w:r>
          <w:rPr>
            <w:rStyle w:val="984"/>
          </w:rPr>
          <w:t xml:space="preserve">4.1.5.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Поле поиска</w:t>
        </w:r>
        <w:r>
          <w:tab/>
        </w:r>
        <w:r>
          <w:fldChar w:fldCharType="begin"/>
        </w:r>
        <w:r>
          <w:instrText xml:space="preserve"> PAGEREF _Toc146034912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3" w:anchor="_Toc146034913" w:history="1">
        <w:r>
          <w:rPr>
            <w:rStyle w:val="984"/>
          </w:rPr>
          <w:t xml:space="preserve">4.1.6.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Панель навигации</w:t>
        </w:r>
        <w:r>
          <w:tab/>
        </w:r>
        <w:r>
          <w:fldChar w:fldCharType="begin"/>
        </w:r>
        <w:r>
          <w:instrText xml:space="preserve"> PAGEREF _Toc146034913 \h </w:instrText>
        </w:r>
        <w:r/>
        <w:r>
          <w:fldChar w:fldCharType="separate"/>
        </w:r>
        <w:r>
          <w:t xml:space="preserve">20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4" w:anchor="_Toc146034914" w:history="1">
        <w:r>
          <w:rPr>
            <w:rStyle w:val="984"/>
          </w:rPr>
          <w:t xml:space="preserve">4.1.7.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Область пользовательских представлений</w:t>
        </w:r>
        <w:r>
          <w:tab/>
        </w:r>
        <w:r>
          <w:fldChar w:fldCharType="begin"/>
        </w:r>
        <w:r>
          <w:instrText xml:space="preserve"> PAGEREF _Toc146034914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5" w:anchor="_Toc146034915" w:history="1">
        <w:r>
          <w:rPr>
            <w:rStyle w:val="984"/>
          </w:rPr>
          <w:t xml:space="preserve">4.1.8.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Кнопка настроек параметров программы</w:t>
        </w:r>
        <w:r>
          <w:tab/>
        </w:r>
        <w:r>
          <w:fldChar w:fldCharType="begin"/>
        </w:r>
        <w:r>
          <w:instrText xml:space="preserve"> PAGEREF _Toc146034915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6" w:anchor="_Toc146034916" w:history="1">
        <w:r>
          <w:rPr>
            <w:rStyle w:val="984"/>
          </w:rPr>
          <w:t xml:space="preserve">4.1.9.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Кнопка настройки автоматического импорта/экспорта</w:t>
        </w:r>
        <w:r>
          <w:tab/>
        </w:r>
        <w:r>
          <w:fldChar w:fldCharType="begin"/>
        </w:r>
        <w:r>
          <w:instrText xml:space="preserve"> PAGEREF _Toc146034916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7" w:anchor="_Toc146034917" w:history="1">
        <w:r>
          <w:rPr>
            <w:rStyle w:val="984"/>
          </w:rPr>
          <w:t xml:space="preserve">4.1.10.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Кнопка вызова окна «Диспетчер задач»</w:t>
        </w:r>
        <w:r>
          <w:tab/>
        </w:r>
        <w:r>
          <w:fldChar w:fldCharType="begin"/>
        </w:r>
        <w:r>
          <w:instrText xml:space="preserve"> PAGEREF _Toc146034917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18" w:anchor="_Toc146034918" w:history="1">
        <w:r>
          <w:rPr>
            <w:rStyle w:val="984"/>
          </w:rPr>
          <w:t xml:space="preserve">4.1.11.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Рабочая область</w:t>
        </w:r>
        <w:r>
          <w:tab/>
        </w:r>
        <w:r>
          <w:fldChar w:fldCharType="begin"/>
        </w:r>
        <w:r>
          <w:instrText xml:space="preserve"> PAGEREF _Toc146034918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19" w:anchor="_Toc146034919" w:history="1">
        <w:r>
          <w:rPr>
            <w:rStyle w:val="984"/>
          </w:rPr>
          <w:t xml:space="preserve">4.2.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Описание типовых операций и приемов работы</w:t>
        </w:r>
        <w:r>
          <w:tab/>
        </w:r>
        <w:r>
          <w:fldChar w:fldCharType="begin"/>
        </w:r>
        <w:r>
          <w:instrText xml:space="preserve"> PAGEREF _Toc146034919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0" w:anchor="_Toc146034920" w:history="1">
        <w:r>
          <w:rPr>
            <w:rStyle w:val="984"/>
          </w:rPr>
          <w:t xml:space="preserve">4.2.1.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Операции доступные на главной панели инструментов</w:t>
        </w:r>
        <w:r>
          <w:tab/>
        </w:r>
        <w:r>
          <w:fldChar w:fldCharType="begin"/>
        </w:r>
        <w:r>
          <w:instrText xml:space="preserve"> PAGEREF _Toc146034920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1" w:anchor="_Toc146034921" w:history="1">
        <w:r>
          <w:rPr>
            <w:rStyle w:val="984"/>
          </w:rPr>
          <w:t xml:space="preserve">4.2.2.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Использование «горячих клавиш»</w:t>
        </w:r>
        <w:r>
          <w:tab/>
        </w:r>
        <w:r>
          <w:fldChar w:fldCharType="begin"/>
        </w:r>
        <w:r>
          <w:instrText xml:space="preserve"> PAGEREF _Toc146034921 \h </w:instrText>
        </w:r>
        <w:r/>
        <w:r>
          <w:fldChar w:fldCharType="separate"/>
        </w:r>
        <w:r>
          <w:t xml:space="preserve">24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2" w:anchor="_Toc146034922" w:history="1">
        <w:r>
          <w:rPr>
            <w:rStyle w:val="984"/>
          </w:rPr>
          <w:t xml:space="preserve">4.2.3.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Операции доступные на панели инструментов экранной формы документа</w:t>
        </w:r>
        <w:r>
          <w:tab/>
        </w:r>
        <w:r>
          <w:fldChar w:fldCharType="begin"/>
        </w:r>
        <w:r>
          <w:instrText xml:space="preserve"> PAGEREF _Toc146034922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3" w:anchor="_Toc146034923" w:history="1">
        <w:r>
          <w:rPr>
            <w:rStyle w:val="984"/>
          </w:rPr>
          <w:t xml:space="preserve">4.2.4.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Работа с табличными записями.</w:t>
        </w:r>
        <w:r>
          <w:tab/>
        </w:r>
        <w:r>
          <w:fldChar w:fldCharType="begin"/>
        </w:r>
        <w:r>
          <w:instrText xml:space="preserve"> PAGEREF _Toc146034923 \h </w:instrText>
        </w:r>
        <w:r/>
        <w:r>
          <w:fldChar w:fldCharType="separate"/>
        </w:r>
        <w:r>
          <w:t xml:space="preserve">26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4" w:anchor="_Toc146034924" w:history="1">
        <w:r>
          <w:rPr>
            <w:rStyle w:val="984"/>
          </w:rPr>
          <w:t xml:space="preserve">4.2.5.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Контекстное меню</w:t>
        </w:r>
        <w:r>
          <w:tab/>
        </w:r>
        <w:r>
          <w:fldChar w:fldCharType="begin"/>
        </w:r>
        <w:r>
          <w:instrText xml:space="preserve"> PAGEREF _Toc146034924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5" w:anchor="_Toc146034925" w:history="1">
        <w:r>
          <w:rPr>
            <w:rStyle w:val="984"/>
          </w:rPr>
          <w:t xml:space="preserve">4.2.6.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Панели сортировки и фильтров</w:t>
        </w:r>
        <w:r>
          <w:tab/>
        </w:r>
        <w:r>
          <w:fldChar w:fldCharType="begin"/>
        </w:r>
        <w:r>
          <w:instrText xml:space="preserve"> PAGEREF _Toc146034925 \h </w:instrText>
        </w:r>
        <w:r/>
        <w:r>
          <w:fldChar w:fldCharType="separate"/>
        </w:r>
        <w:r>
          <w:t xml:space="preserve">28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6" w:anchor="_Toc146034926" w:history="1">
        <w:r>
          <w:rPr>
            <w:rStyle w:val="984"/>
          </w:rPr>
          <w:t xml:space="preserve">4.2.7.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Перемещение по списку документов</w:t>
        </w:r>
        <w:r>
          <w:tab/>
        </w:r>
        <w:r>
          <w:fldChar w:fldCharType="begin"/>
        </w:r>
        <w:r>
          <w:instrText xml:space="preserve"> PAGEREF _Toc146034926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7" w:anchor="_Toc146034927" w:history="1">
        <w:r>
          <w:rPr>
            <w:rStyle w:val="984"/>
          </w:rPr>
          <w:t xml:space="preserve">4.2.8.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Выделение документов в списке</w:t>
        </w:r>
        <w:r>
          <w:tab/>
        </w:r>
        <w:r>
          <w:fldChar w:fldCharType="begin"/>
        </w:r>
        <w:r>
          <w:instrText xml:space="preserve"> PAGEREF _Toc146034927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8" w:anchor="_Toc146034928" w:history="1">
        <w:r>
          <w:rPr>
            <w:rStyle w:val="984"/>
          </w:rPr>
          <w:t xml:space="preserve">4.2.9.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Отображение статистических данных</w:t>
        </w:r>
        <w:r>
          <w:tab/>
        </w:r>
        <w:r>
          <w:fldChar w:fldCharType="begin"/>
        </w:r>
        <w:r>
          <w:instrText xml:space="preserve"> PAGEREF _Toc146034928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29" w:anchor="_Toc146034929" w:history="1">
        <w:r>
          <w:rPr>
            <w:rStyle w:val="984"/>
          </w:rPr>
          <w:t xml:space="preserve">4.2.10.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Информационная панель</w:t>
        </w:r>
        <w:r>
          <w:tab/>
        </w:r>
        <w:r>
          <w:fldChar w:fldCharType="begin"/>
        </w:r>
        <w:r>
          <w:instrText xml:space="preserve"> PAGEREF _Toc146034929 \h </w:instrText>
        </w:r>
        <w:r/>
        <w:r>
          <w:fldChar w:fldCharType="separate"/>
        </w:r>
        <w:r>
          <w:t xml:space="preserve">31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930" w:anchor="_Toc146034930" w:history="1">
        <w:r>
          <w:rPr>
            <w:rStyle w:val="984"/>
          </w:rPr>
          <w:t xml:space="preserve">5.</w:t>
        </w:r>
        <w:r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>
          <w:rPr>
            <w:rStyle w:val="984"/>
          </w:rPr>
          <w:t xml:space="preserve">Описание операций и экранных форм</w:t>
        </w:r>
        <w:r>
          <w:tab/>
        </w:r>
        <w:r>
          <w:fldChar w:fldCharType="begin"/>
        </w:r>
        <w:r>
          <w:instrText xml:space="preserve"> PAGEREF _Toc146034930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31" w:anchor="_Toc146034931" w:history="1">
        <w:r>
          <w:rPr>
            <w:rStyle w:val="984"/>
          </w:rPr>
          <w:t xml:space="preserve">5.1.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Группа документов «Неисполненные»</w:t>
        </w:r>
        <w:r>
          <w:tab/>
        </w:r>
        <w:r>
          <w:fldChar w:fldCharType="begin"/>
        </w:r>
        <w:r>
          <w:instrText xml:space="preserve"> PAGEREF _Toc146034931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32" w:anchor="_Toc146034932" w:history="1">
        <w:r>
          <w:rPr>
            <w:rStyle w:val="984"/>
          </w:rPr>
          <w:t xml:space="preserve">5.1.1.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Входящий протокол</w:t>
        </w:r>
        <w:r>
          <w:tab/>
        </w:r>
        <w:r>
          <w:fldChar w:fldCharType="begin"/>
        </w:r>
        <w:r>
          <w:instrText xml:space="preserve"> PAGEREF _Toc146034932 \h </w:instrText>
        </w:r>
        <w:r/>
        <w:r>
          <w:fldChar w:fldCharType="separate"/>
        </w:r>
        <w:r>
          <w:t xml:space="preserve">32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33" w:anchor="_Toc146034933" w:history="1">
        <w:r>
          <w:rPr>
            <w:rStyle w:val="984"/>
          </w:rPr>
          <w:t xml:space="preserve">5.2.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Группа документов «Исполнительные документы»</w:t>
        </w:r>
        <w:r>
          <w:tab/>
        </w:r>
        <w:r>
          <w:fldChar w:fldCharType="begin"/>
        </w:r>
        <w:r>
          <w:instrText xml:space="preserve"> PAGEREF _Toc146034933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34" w:anchor="_Toc146034934" w:history="1">
        <w:r>
          <w:rPr>
            <w:rStyle w:val="984"/>
          </w:rPr>
          <w:t xml:space="preserve">5.2.1.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Уведомление о возвращении исполнительного документа</w:t>
        </w:r>
        <w:r>
          <w:tab/>
        </w:r>
        <w:r>
          <w:fldChar w:fldCharType="begin"/>
        </w:r>
        <w:r>
          <w:instrText xml:space="preserve"> PAGEREF _Toc146034934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35" w:anchor="_Toc146034935" w:history="1">
        <w:r>
          <w:rPr>
            <w:rStyle w:val="984"/>
          </w:rPr>
          <w:t xml:space="preserve">5.2.2.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Уведомление о предоставлении уточненных реквизитов банковского счета взыскателя</w:t>
        </w:r>
        <w:r>
          <w:tab/>
        </w:r>
        <w:r>
          <w:fldChar w:fldCharType="begin"/>
        </w:r>
        <w:r>
          <w:instrText xml:space="preserve"> PAGEREF _Toc146034935 \h </w:instrText>
        </w:r>
        <w:r/>
        <w:r>
          <w:fldChar w:fldCharType="separate"/>
        </w:r>
        <w:r>
          <w:t xml:space="preserve">40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36" w:anchor="_Toc146034936" w:history="1">
        <w:r>
          <w:rPr>
            <w:rStyle w:val="984"/>
          </w:rPr>
          <w:t xml:space="preserve">5.2.3.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Уведомление о направлении полностью исполненного исполнительного документа</w:t>
        </w:r>
        <w:r>
          <w:tab/>
        </w:r>
        <w:r>
          <w:fldChar w:fldCharType="begin"/>
        </w:r>
        <w:r>
          <w:instrText xml:space="preserve"> PAGEREF _Toc146034936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37" w:anchor="_Toc146034937" w:history="1">
        <w:r>
          <w:rPr>
            <w:rStyle w:val="984"/>
          </w:rPr>
          <w:t xml:space="preserve">5.2.4.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Исполнительный документ в форме электронного документа</w:t>
        </w:r>
        <w:r>
          <w:tab/>
        </w:r>
        <w:r>
          <w:fldChar w:fldCharType="begin"/>
        </w:r>
        <w:r>
          <w:instrText xml:space="preserve"> PAGEREF _Toc146034937 \h </w:instrText>
        </w:r>
        <w:r/>
        <w:r>
          <w:fldChar w:fldCharType="separate"/>
        </w:r>
        <w:r>
          <w:t xml:space="preserve">47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38" w:anchor="_Toc146034938" w:history="1">
        <w:r>
          <w:rPr>
            <w:rStyle w:val="984"/>
          </w:rPr>
          <w:t xml:space="preserve">5.3.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Группа документов «Ведение справочника участников бюджетного процесса»</w:t>
        </w:r>
        <w:r>
          <w:tab/>
        </w:r>
        <w:r>
          <w:fldChar w:fldCharType="begin"/>
        </w:r>
        <w:r>
          <w:instrText xml:space="preserve"> PAGEREF _Toc146034938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39" w:anchor="_Toc146034939" w:history="1">
        <w:r>
          <w:rPr>
            <w:rStyle w:val="984"/>
          </w:rPr>
          <w:t xml:space="preserve">5.3.1.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Сообщение об изменении реквизитов Л/С для ФНС</w:t>
        </w:r>
        <w:r>
          <w:tab/>
        </w:r>
        <w:r>
          <w:fldChar w:fldCharType="begin"/>
        </w:r>
        <w:r>
          <w:instrText xml:space="preserve"> PAGEREF _Toc146034939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40" w:anchor="_Toc146034940" w:history="1">
        <w:r>
          <w:rPr>
            <w:rStyle w:val="984"/>
          </w:rPr>
          <w:t xml:space="preserve">5.3.2.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Сообщение об открытии/закрытии Л/С для ФНС</w:t>
        </w:r>
        <w:r>
          <w:tab/>
        </w:r>
        <w:r>
          <w:fldChar w:fldCharType="begin"/>
        </w:r>
        <w:r>
          <w:instrText xml:space="preserve"> PAGEREF _Toc146034940 \h </w:instrText>
        </w:r>
        <w:r/>
        <w:r>
          <w:fldChar w:fldCharType="separate"/>
        </w:r>
        <w:r>
          <w:t xml:space="preserve">67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6"/>
        <w:rPr>
          <w:rFonts w:ascii="Calibri" w:hAnsi="Calibri"/>
          <w:bCs w:val="0"/>
          <w:sz w:val="22"/>
          <w:szCs w:val="22"/>
        </w:rPr>
      </w:pPr>
      <w:r/>
      <w:hyperlink w:tooltip="#_Toc146034941" w:anchor="_Toc146034941" w:history="1">
        <w:r>
          <w:rPr>
            <w:rStyle w:val="984"/>
          </w:rPr>
          <w:t xml:space="preserve">5.4.</w:t>
        </w:r>
        <w:r>
          <w:rPr>
            <w:rFonts w:ascii="Calibri" w:hAnsi="Calibri"/>
            <w:bCs w:val="0"/>
            <w:sz w:val="22"/>
            <w:szCs w:val="22"/>
          </w:rPr>
          <w:tab/>
        </w:r>
        <w:r>
          <w:rPr>
            <w:rStyle w:val="984"/>
          </w:rPr>
          <w:t xml:space="preserve">Группа документов «Произвольные»</w:t>
        </w:r>
        <w:r>
          <w:tab/>
        </w:r>
        <w:r>
          <w:fldChar w:fldCharType="begin"/>
        </w:r>
        <w:r>
          <w:instrText xml:space="preserve"> PAGEREF _Toc146034941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>
        <w:rPr>
          <w:rFonts w:ascii="Calibri" w:hAnsi="Calibri"/>
          <w:bCs w:val="0"/>
          <w:sz w:val="22"/>
          <w:szCs w:val="22"/>
        </w:rPr>
      </w:r>
    </w:p>
    <w:p>
      <w:pPr>
        <w:pStyle w:val="987"/>
        <w:rPr>
          <w:rFonts w:ascii="Calibri" w:hAnsi="Calibri"/>
          <w:bCs w:val="0"/>
          <w:iCs w:val="0"/>
          <w:sz w:val="22"/>
          <w:szCs w:val="22"/>
        </w:rPr>
      </w:pPr>
      <w:r/>
      <w:hyperlink w:tooltip="#_Toc146034942" w:anchor="_Toc146034942" w:history="1">
        <w:r>
          <w:rPr>
            <w:rStyle w:val="984"/>
          </w:rPr>
          <w:t xml:space="preserve">5.4.1.</w:t>
        </w:r>
        <w:r>
          <w:rPr>
            <w:rFonts w:ascii="Calibri" w:hAnsi="Calibri"/>
            <w:bCs w:val="0"/>
            <w:iCs w:val="0"/>
            <w:sz w:val="22"/>
            <w:szCs w:val="22"/>
          </w:rPr>
          <w:tab/>
        </w:r>
        <w:r>
          <w:rPr>
            <w:rStyle w:val="984"/>
          </w:rPr>
          <w:t xml:space="preserve">Информационное сообщение</w:t>
        </w:r>
        <w:r>
          <w:tab/>
        </w:r>
        <w:r>
          <w:fldChar w:fldCharType="begin"/>
        </w:r>
        <w:r>
          <w:instrText xml:space="preserve"> PAGEREF _Toc146034942 \h </w:instrText>
        </w:r>
        <w:r/>
        <w:r>
          <w:fldChar w:fldCharType="separate"/>
        </w:r>
        <w:r>
          <w:t xml:space="preserve">70</w:t>
        </w:r>
        <w:r>
          <w:fldChar w:fldCharType="end"/>
        </w:r>
      </w:hyperlink>
      <w:r/>
      <w:r>
        <w:rPr>
          <w:rFonts w:ascii="Calibri" w:hAnsi="Calibri"/>
          <w:bCs w:val="0"/>
          <w:iC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943" w:anchor="_Toc146034943" w:history="1">
        <w:r>
          <w:rPr>
            <w:rStyle w:val="984"/>
          </w:rPr>
          <w:t xml:space="preserve">СОГЛАСОВАНО</w:t>
        </w:r>
        <w:r>
          <w:tab/>
        </w:r>
        <w:r>
          <w:fldChar w:fldCharType="begin"/>
        </w:r>
        <w:r>
          <w:instrText xml:space="preserve"> PAGEREF _Toc146034943 \h </w:instrText>
        </w:r>
        <w:r/>
        <w:r>
          <w:fldChar w:fldCharType="separate"/>
        </w:r>
        <w:r>
          <w:t xml:space="preserve">77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pPr>
        <w:pStyle w:val="985"/>
        <w:rPr>
          <w:rFonts w:ascii="Calibri" w:hAnsi="Calibri"/>
          <w:b w:val="0"/>
          <w:bCs w:val="0"/>
          <w:caps w:val="0"/>
          <w:sz w:val="22"/>
          <w:szCs w:val="22"/>
        </w:rPr>
      </w:pPr>
      <w:r/>
      <w:hyperlink w:tooltip="#_Toc146034944" w:anchor="_Toc146034944" w:history="1">
        <w:r>
          <w:rPr>
            <w:rStyle w:val="984"/>
          </w:rPr>
          <w:t xml:space="preserve">ЛИСТ РЕГИСТРАЦИИ ИЗМЕНЕНИЙ</w:t>
        </w:r>
        <w:r>
          <w:tab/>
        </w:r>
        <w:r>
          <w:fldChar w:fldCharType="begin"/>
        </w:r>
        <w:r>
          <w:instrText xml:space="preserve"> PAGEREF _Toc146034944 \h </w:instrText>
        </w:r>
        <w:r/>
        <w:r>
          <w:fldChar w:fldCharType="separate"/>
        </w:r>
        <w:r>
          <w:t xml:space="preserve">78</w:t>
        </w:r>
        <w:r>
          <w:fldChar w:fldCharType="end"/>
        </w:r>
      </w:hyperlink>
      <w:r/>
      <w:r>
        <w:rPr>
          <w:rFonts w:ascii="Calibri" w:hAnsi="Calibri"/>
          <w:b w:val="0"/>
          <w:bCs w:val="0"/>
          <w:caps w:val="0"/>
          <w:sz w:val="22"/>
          <w:szCs w:val="22"/>
        </w:rPr>
      </w:r>
    </w:p>
    <w:p>
      <w:r>
        <w:fldChar w:fldCharType="end"/>
      </w:r>
      <w:bookmarkStart w:id="1" w:name="_Toc401059253"/>
      <w:r/>
      <w:bookmarkStart w:id="2" w:name="_Ref106791029"/>
      <w:r/>
      <w:r/>
    </w:p>
    <w:p>
      <w:pPr>
        <w:pStyle w:val="962"/>
      </w:pPr>
      <w:r/>
      <w:bookmarkStart w:id="3" w:name="_Toc146034890"/>
      <w:r>
        <w:t xml:space="preserve">Перечень таблиц</w:t>
      </w:r>
      <w:bookmarkEnd w:id="3"/>
      <w:r/>
      <w:r/>
    </w:p>
    <w:p>
      <w:pPr>
        <w:pStyle w:val="1116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"_ASFK_Name_Table" \c "Таблица" </w:instrText>
      </w:r>
      <w:r>
        <w:fldChar w:fldCharType="separate"/>
      </w:r>
      <w:hyperlink w:tooltip="#_Toc146034945" w:anchor="_Toc146034945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1. Условные обозначения и сокращения</w:t>
        </w:r>
        <w:r>
          <w:tab/>
        </w:r>
        <w:r>
          <w:fldChar w:fldCharType="begin"/>
        </w:r>
        <w:r>
          <w:instrText xml:space="preserve"> PAGEREF _Toc146034945 \h </w:instrText>
        </w:r>
        <w:r/>
        <w:r>
          <w:fldChar w:fldCharType="separate"/>
        </w:r>
        <w:r>
          <w:t xml:space="preserve">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46" w:anchor="_Toc146034946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2. Типовые операции над документами</w:t>
        </w:r>
        <w:r>
          <w:tab/>
        </w:r>
        <w:r>
          <w:fldChar w:fldCharType="begin"/>
        </w:r>
        <w:r>
          <w:instrText xml:space="preserve"> PAGEREF _Toc146034946 \h </w:instrText>
        </w:r>
        <w:r/>
        <w:r>
          <w:fldChar w:fldCharType="separate"/>
        </w:r>
        <w:r>
          <w:t xml:space="preserve">23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47" w:anchor="_Toc146034947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3. Описание кнопок панели инструментов экранной формы документа</w:t>
        </w:r>
        <w:r>
          <w:tab/>
        </w:r>
        <w:r>
          <w:fldChar w:fldCharType="begin"/>
        </w:r>
        <w:r>
          <w:instrText xml:space="preserve"> PAGEREF _Toc146034947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48" w:anchor="_Toc146034948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4. Описание кнопок панели инструментов табличного блока</w:t>
        </w:r>
        <w:r>
          <w:tab/>
        </w:r>
        <w:r>
          <w:fldChar w:fldCharType="begin"/>
        </w:r>
        <w:r>
          <w:instrText xml:space="preserve"> PAGEREF _Toc146034948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49" w:anchor="_Toc146034949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5. Описание полей документа «Входящий протокол», закладки «Основные»</w:t>
        </w:r>
        <w:r>
          <w:tab/>
        </w:r>
        <w:r>
          <w:fldChar w:fldCharType="begin"/>
        </w:r>
        <w:r>
          <w:instrText xml:space="preserve"> PAGEREF _Toc146034949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0" w:anchor="_Toc146034950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6. Описание полей документа «Уведомление о возвращении исполнительного документа»</w:t>
        </w:r>
        <w:r>
          <w:tab/>
        </w:r>
        <w:r>
          <w:fldChar w:fldCharType="begin"/>
        </w:r>
        <w:r>
          <w:instrText xml:space="preserve"> PAGEREF _Toc146034950 \h </w:instrText>
        </w:r>
        <w:r/>
        <w:r>
          <w:fldChar w:fldCharType="separate"/>
        </w:r>
        <w:r>
          <w:t xml:space="preserve">39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1" w:anchor="_Toc146034951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7. Описание полей документа «Уведомление о предоставлении уточненных реквизитов банковского счета взыскателя»</w:t>
        </w:r>
        <w:r>
          <w:tab/>
        </w:r>
        <w:r>
          <w:fldChar w:fldCharType="begin"/>
        </w:r>
        <w:r>
          <w:instrText xml:space="preserve"> PAGEREF _Toc146034951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2" w:anchor="_Toc146034952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8. Описание полей документа «Уведомление о направлении полностью исполненного исполнительного документа»</w:t>
        </w:r>
        <w:r>
          <w:tab/>
        </w:r>
        <w:r>
          <w:fldChar w:fldCharType="begin"/>
        </w:r>
        <w:r>
          <w:instrText xml:space="preserve"> PAGEREF _Toc146034952 \h </w:instrText>
        </w:r>
        <w:r/>
        <w:r>
          <w:fldChar w:fldCharType="separate"/>
        </w:r>
        <w:r>
          <w:t xml:space="preserve">46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3" w:anchor="_Toc146034953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9. Описание полей документа «Исполнительный документ в форме электронного документа», закладки «Заголовок»</w:t>
        </w:r>
        <w:r>
          <w:tab/>
        </w:r>
        <w:r>
          <w:fldChar w:fldCharType="begin"/>
        </w:r>
        <w:r>
          <w:instrText xml:space="preserve"> PAGEREF _Toc146034953 \h </w:instrText>
        </w:r>
        <w:r/>
        <w:r>
          <w:fldChar w:fldCharType="separate"/>
        </w:r>
        <w:r>
          <w:t xml:space="preserve">50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4" w:anchor="_Toc146034954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10. Описание полей документа «Исполнительный документ в форме электронного документа», закладки «Дополнительные сведения»</w:t>
        </w:r>
        <w:r>
          <w:tab/>
        </w:r>
        <w:r>
          <w:fldChar w:fldCharType="begin"/>
        </w:r>
        <w:r>
          <w:instrText xml:space="preserve"> PAGEREF _Toc146034954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5" w:anchor="_Toc146034955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11. Описание полей документа «Исполнительный документ в форме электронного документа», закладки «Информация о нормативном правовом акте»</w:t>
        </w:r>
        <w:r>
          <w:tab/>
        </w:r>
        <w:r>
          <w:fldChar w:fldCharType="begin"/>
        </w:r>
        <w:r>
          <w:instrText xml:space="preserve"> PAGEREF _Toc146034955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6" w:anchor="_Toc146034956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12. Описание полей документа «Исполнительный документ в форме электронного документа», закладки «Реквизиты счета для перечисления задолженности»</w:t>
        </w:r>
        <w:r>
          <w:tab/>
        </w:r>
        <w:r>
          <w:fldChar w:fldCharType="begin"/>
        </w:r>
        <w:r>
          <w:instrText xml:space="preserve"> PAGEREF _Toc146034956 \h </w:instrText>
        </w:r>
        <w:r/>
        <w:r>
          <w:fldChar w:fldCharType="separate"/>
        </w:r>
        <w:r>
          <w:t xml:space="preserve">63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7" w:anchor="_Toc146034957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13. Описание полей документа «Исполнительный документ в форме электронного документа», закладки «Протоколы»</w:t>
        </w:r>
        <w:r>
          <w:tab/>
        </w:r>
        <w:r>
          <w:fldChar w:fldCharType="begin"/>
        </w:r>
        <w:r>
          <w:instrText xml:space="preserve"> PAGEREF _Toc146034957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8" w:anchor="_Toc146034958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14. Описание полей документа «Сообщение об изменении реквизитов Л/С для ФНС»</w:t>
        </w:r>
        <w:r>
          <w:tab/>
        </w:r>
        <w:r>
          <w:fldChar w:fldCharType="begin"/>
        </w:r>
        <w:r>
          <w:instrText xml:space="preserve"> PAGEREF _Toc146034958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59" w:anchor="_Toc146034959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15. Описание полей документа «Сообщение об открытии/закрытии Л/С для ФНС»</w:t>
        </w:r>
        <w:r>
          <w:tab/>
        </w:r>
        <w:r>
          <w:fldChar w:fldCharType="begin"/>
        </w:r>
        <w:r>
          <w:instrText xml:space="preserve"> PAGEREF _Toc146034959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0" w:anchor="_Toc146034960" w:history="1">
        <w:r>
          <w:rPr>
            <w:rStyle w:val="984"/>
          </w:rPr>
          <w:t xml:space="preserve">Таблица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16. Описание полей документа «Информационное сообщение», закладки «Документ»</w:t>
        </w:r>
        <w:r>
          <w:tab/>
        </w:r>
        <w:r>
          <w:fldChar w:fldCharType="begin"/>
        </w:r>
        <w:r>
          <w:instrText xml:space="preserve"> PAGEREF _Toc146034960 \h </w:instrText>
        </w:r>
        <w:r/>
        <w:r>
          <w:fldChar w:fldCharType="separate"/>
        </w:r>
        <w:r>
          <w:t xml:space="preserve">72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958"/>
      </w:pPr>
      <w:r>
        <w:fldChar w:fldCharType="end"/>
      </w:r>
      <w:r/>
    </w:p>
    <w:p>
      <w:r/>
      <w:r/>
    </w:p>
    <w:p>
      <w:pPr>
        <w:pStyle w:val="962"/>
      </w:pPr>
      <w:r/>
      <w:bookmarkStart w:id="4" w:name="_Toc146034891"/>
      <w:r>
        <w:t xml:space="preserve">Перечень рисунков</w:t>
      </w:r>
      <w:bookmarkEnd w:id="4"/>
      <w:r/>
      <w:r/>
    </w:p>
    <w:p>
      <w:pPr>
        <w:pStyle w:val="1116"/>
        <w:rPr>
          <w:rFonts w:ascii="Calibri" w:hAnsi="Calibri"/>
          <w:sz w:val="22"/>
          <w:szCs w:val="22"/>
        </w:rPr>
      </w:pPr>
      <w:r>
        <w:fldChar w:fldCharType="begin"/>
      </w:r>
      <w:r>
        <w:instrText xml:space="preserve"> TOC \f F \h \z \t "_ASFK_Fig_Name" \c "Рисунок" </w:instrText>
      </w:r>
      <w:r>
        <w:fldChar w:fldCharType="separate"/>
      </w:r>
      <w:hyperlink w:tooltip="#_Toc146034961" w:anchor="_Toc146034961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1. Основное окно программы</w:t>
        </w:r>
        <w:r>
          <w:tab/>
        </w:r>
        <w:r>
          <w:fldChar w:fldCharType="begin"/>
        </w:r>
        <w:r>
          <w:instrText xml:space="preserve"> PAGEREF _Toc146034961 \h </w:instrText>
        </w:r>
        <w:r/>
        <w:r>
          <w:fldChar w:fldCharType="separate"/>
        </w:r>
        <w:r>
          <w:t xml:space="preserve">19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2" w:anchor="_Toc146034962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2. Окно настройки автоматического импорта/экспорта документов</w:t>
        </w:r>
        <w:r>
          <w:tab/>
        </w:r>
        <w:r>
          <w:fldChar w:fldCharType="begin"/>
        </w:r>
        <w:r>
          <w:instrText xml:space="preserve"> PAGEREF _Toc146034962 \h </w:instrText>
        </w:r>
        <w:r/>
        <w:r>
          <w:fldChar w:fldCharType="separate"/>
        </w:r>
        <w:r>
          <w:t xml:space="preserve">21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3" w:anchor="_Toc146034963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3. Пример окна диспетчера задач</w:t>
        </w:r>
        <w:r>
          <w:tab/>
        </w:r>
        <w:r>
          <w:fldChar w:fldCharType="begin"/>
        </w:r>
        <w:r>
          <w:instrText xml:space="preserve"> PAGEREF _Toc146034963 \h </w:instrText>
        </w:r>
        <w:r/>
        <w:r>
          <w:fldChar w:fldCharType="separate"/>
        </w:r>
        <w:r>
          <w:t xml:space="preserve">22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4" w:anchor="_Toc146034964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4. Пример панели инструментов экранной формы документа</w:t>
        </w:r>
        <w:r>
          <w:tab/>
        </w:r>
        <w:r>
          <w:fldChar w:fldCharType="begin"/>
        </w:r>
        <w:r>
          <w:instrText xml:space="preserve"> PAGEREF _Toc146034964 \h </w:instrText>
        </w:r>
        <w:r/>
        <w:r>
          <w:fldChar w:fldCharType="separate"/>
        </w:r>
        <w:r>
          <w:t xml:space="preserve">25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5" w:anchor="_Toc146034965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5. Пример экранной формы, содержащей встроенную таблицу</w:t>
        </w:r>
        <w:r>
          <w:tab/>
        </w:r>
        <w:r>
          <w:fldChar w:fldCharType="begin"/>
        </w:r>
        <w:r>
          <w:instrText xml:space="preserve"> PAGEREF _Toc146034965 \h </w:instrText>
        </w:r>
        <w:r/>
        <w:r>
          <w:fldChar w:fldCharType="separate"/>
        </w:r>
        <w:r>
          <w:t xml:space="preserve">27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6" w:anchor="_Toc146034966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6. Панели сортировки и фильтров</w:t>
        </w:r>
        <w:r>
          <w:tab/>
        </w:r>
        <w:r>
          <w:fldChar w:fldCharType="begin"/>
        </w:r>
        <w:r>
          <w:instrText xml:space="preserve"> PAGEREF _Toc146034966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7" w:anchor="_Toc146034967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7. Панель сортировки</w:t>
        </w:r>
        <w:r>
          <w:tab/>
        </w:r>
        <w:r>
          <w:fldChar w:fldCharType="begin"/>
        </w:r>
        <w:r>
          <w:instrText xml:space="preserve"> PAGEREF _Toc146034967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8" w:anchor="_Toc146034968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8. Панель фильтров</w:t>
        </w:r>
        <w:r>
          <w:tab/>
        </w:r>
        <w:r>
          <w:fldChar w:fldCharType="begin"/>
        </w:r>
        <w:r>
          <w:instrText xml:space="preserve"> PAGEREF _Toc146034968 \h </w:instrText>
        </w:r>
        <w:r/>
        <w:r>
          <w:fldChar w:fldCharType="separate"/>
        </w:r>
        <w:r>
          <w:t xml:space="preserve">29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69" w:anchor="_Toc146034969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9. Панель перемещения по списку документов. Отображается первая из пяти страниц журнала документов</w:t>
        </w:r>
        <w:r>
          <w:tab/>
        </w:r>
        <w:r>
          <w:fldChar w:fldCharType="begin"/>
        </w:r>
        <w:r>
          <w:instrText xml:space="preserve"> PAGEREF _Toc146034969 \h </w:instrText>
        </w:r>
        <w:r/>
        <w:r>
          <w:fldChar w:fldCharType="separate"/>
        </w:r>
        <w:r>
          <w:t xml:space="preserve">30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0" w:anchor="_Toc146034970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10. Информационная панель</w:t>
        </w:r>
        <w:r>
          <w:tab/>
        </w:r>
        <w:r>
          <w:fldChar w:fldCharType="begin"/>
        </w:r>
        <w:r>
          <w:instrText xml:space="preserve"> PAGEREF _Toc146034970 \h </w:instrText>
        </w:r>
        <w:r/>
        <w:r>
          <w:fldChar w:fldCharType="separate"/>
        </w:r>
        <w:r>
          <w:t xml:space="preserve">31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1" w:anchor="_Toc146034971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11. ЭФ списка документов «Входящий протокол»</w:t>
        </w:r>
        <w:r>
          <w:tab/>
        </w:r>
        <w:r>
          <w:fldChar w:fldCharType="begin"/>
        </w:r>
        <w:r>
          <w:instrText xml:space="preserve"> PAGEREF _Toc146034971 \h </w:instrText>
        </w:r>
        <w:r/>
        <w:r>
          <w:fldChar w:fldCharType="separate"/>
        </w:r>
        <w:r>
          <w:t xml:space="preserve">33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2" w:anchor="_Toc146034972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12. ЭФ документа «Входящий протокол», закладки «Основные»</w:t>
        </w:r>
        <w:r>
          <w:tab/>
        </w:r>
        <w:r>
          <w:fldChar w:fldCharType="begin"/>
        </w:r>
        <w:r>
          <w:instrText xml:space="preserve"> PAGEREF _Toc146034972 \h </w:instrText>
        </w:r>
        <w:r/>
        <w:r>
          <w:fldChar w:fldCharType="separate"/>
        </w:r>
        <w:r>
          <w:t xml:space="preserve">34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3" w:anchor="_Toc146034973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13. Форма «Просмотр записи»</w:t>
        </w:r>
        <w:r>
          <w:tab/>
        </w:r>
        <w:r>
          <w:fldChar w:fldCharType="begin"/>
        </w:r>
        <w:r>
          <w:instrText xml:space="preserve"> PAGEREF _Toc146034973 \h </w:instrText>
        </w:r>
        <w:r/>
        <w:r>
          <w:fldChar w:fldCharType="separate"/>
        </w:r>
        <w:r>
          <w:t xml:space="preserve">35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4" w:anchor="_Toc146034974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14. ЭФ документа «Входящий протокол», закладки «Системные атрибуты»</w:t>
        </w:r>
        <w:r>
          <w:tab/>
        </w:r>
        <w:r>
          <w:fldChar w:fldCharType="begin"/>
        </w:r>
        <w:r>
          <w:instrText xml:space="preserve"> PAGEREF _Toc146034974 \h </w:instrText>
        </w:r>
        <w:r/>
        <w:r>
          <w:fldChar w:fldCharType="separate"/>
        </w:r>
        <w:r>
          <w:t xml:space="preserve">36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5" w:anchor="_Toc146034975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15. ЭФ списка документов «Уведомление о возвращении исполнительного документа»</w:t>
        </w:r>
        <w:r>
          <w:tab/>
        </w:r>
        <w:r>
          <w:fldChar w:fldCharType="begin"/>
        </w:r>
        <w:r>
          <w:instrText xml:space="preserve"> PAGEREF _Toc146034975 \h </w:instrText>
        </w:r>
        <w:r/>
        <w:r>
          <w:fldChar w:fldCharType="separate"/>
        </w:r>
        <w:r>
          <w:t xml:space="preserve">37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6" w:anchor="_Toc146034976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16. ЭФ документа «Уведомление о возвращении исполнительного документа»</w:t>
        </w:r>
        <w:r>
          <w:tab/>
        </w:r>
        <w:r>
          <w:fldChar w:fldCharType="begin"/>
        </w:r>
        <w:r>
          <w:instrText xml:space="preserve"> PAGEREF _Toc146034976 \h </w:instrText>
        </w:r>
        <w:r/>
        <w:r>
          <w:fldChar w:fldCharType="separate"/>
        </w:r>
        <w:r>
          <w:t xml:space="preserve">38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7" w:anchor="_Toc146034977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17. ЭФ списка документов «Уведомление о предоставлении уточненных реквизитов банковского счета взыскателя»</w:t>
        </w:r>
        <w:r>
          <w:tab/>
        </w:r>
        <w:r>
          <w:fldChar w:fldCharType="begin"/>
        </w:r>
        <w:r>
          <w:instrText xml:space="preserve"> PAGEREF _Toc146034977 \h </w:instrText>
        </w:r>
        <w:r/>
        <w:r>
          <w:fldChar w:fldCharType="separate"/>
        </w:r>
        <w:r>
          <w:t xml:space="preserve">41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8" w:anchor="_Toc146034978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18. ЭФ документа «Уведомление о предоставлении уточненных реквизитов банковского счета взыскателя»</w:t>
        </w:r>
        <w:r>
          <w:tab/>
        </w:r>
        <w:r>
          <w:fldChar w:fldCharType="begin"/>
        </w:r>
        <w:r>
          <w:instrText xml:space="preserve"> PAGEREF _Toc146034978 \h </w:instrText>
        </w:r>
        <w:r/>
        <w:r>
          <w:fldChar w:fldCharType="separate"/>
        </w:r>
        <w:r>
          <w:t xml:space="preserve">42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79" w:anchor="_Toc146034979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19. ЭФ списка документов «Уведомление о направлении полностью исполненного исполнительного документа»</w:t>
        </w:r>
        <w:r>
          <w:tab/>
        </w:r>
        <w:r>
          <w:fldChar w:fldCharType="begin"/>
        </w:r>
        <w:r>
          <w:instrText xml:space="preserve"> PAGEREF _Toc146034979 \h </w:instrText>
        </w:r>
        <w:r/>
        <w:r>
          <w:fldChar w:fldCharType="separate"/>
        </w:r>
        <w:r>
          <w:t xml:space="preserve">44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0" w:anchor="_Toc146034980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20. ЭФ документа «Уведомление о направлении полностью исполненного ИД»</w:t>
        </w:r>
        <w:r>
          <w:tab/>
        </w:r>
        <w:r>
          <w:fldChar w:fldCharType="begin"/>
        </w:r>
        <w:r>
          <w:instrText xml:space="preserve"> PAGEREF _Toc146034980 \h </w:instrText>
        </w:r>
        <w:r/>
        <w:r>
          <w:fldChar w:fldCharType="separate"/>
        </w:r>
        <w:r>
          <w:t xml:space="preserve">45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1" w:anchor="_Toc146034981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21. ЭФ списка документов «Исполнительный документ в форме электронного документа»</w:t>
        </w:r>
        <w:r>
          <w:tab/>
        </w:r>
        <w:r>
          <w:fldChar w:fldCharType="begin"/>
        </w:r>
        <w:r>
          <w:instrText xml:space="preserve"> PAGEREF _Toc146034981 \h </w:instrText>
        </w:r>
        <w:r/>
        <w:r>
          <w:fldChar w:fldCharType="separate"/>
        </w:r>
        <w:r>
          <w:t xml:space="preserve">47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2" w:anchor="_Toc146034982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22. ЭФ документа «Исполнительный документ в форме электронного документа», закладки «Заголовок»</w:t>
        </w:r>
        <w:r>
          <w:tab/>
        </w:r>
        <w:r>
          <w:fldChar w:fldCharType="begin"/>
        </w:r>
        <w:r>
          <w:instrText xml:space="preserve"> PAGEREF _Toc146034982 \h </w:instrText>
        </w:r>
        <w:r/>
        <w:r>
          <w:fldChar w:fldCharType="separate"/>
        </w:r>
        <w:r>
          <w:t xml:space="preserve">49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3" w:anchor="_Toc146034983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23. ЭФ документа «Исполнительный документ в форме электронного документа», закладки «Дополнительные сведения»</w:t>
        </w:r>
        <w:r>
          <w:tab/>
        </w:r>
        <w:r>
          <w:fldChar w:fldCharType="begin"/>
        </w:r>
        <w:r>
          <w:instrText xml:space="preserve"> PAGEREF _Toc146034983 \h </w:instrText>
        </w:r>
        <w:r/>
        <w:r>
          <w:fldChar w:fldCharType="separate"/>
        </w:r>
        <w:r>
          <w:t xml:space="preserve">57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4" w:anchor="_Toc146034984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24. ЭФ документа «Исполнительный документ в форме электронного документа», закладки «Информация о нормативном правовом акте»</w:t>
        </w:r>
        <w:r>
          <w:tab/>
        </w:r>
        <w:r>
          <w:fldChar w:fldCharType="begin"/>
        </w:r>
        <w:r>
          <w:instrText xml:space="preserve"> PAGEREF _Toc146034984 \h </w:instrText>
        </w:r>
        <w:r/>
        <w:r>
          <w:fldChar w:fldCharType="separate"/>
        </w:r>
        <w:r>
          <w:t xml:space="preserve">61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5" w:anchor="_Toc146034985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25. ЭФ документа «Исполнительный документ в форме электронного документа», закладки «Реквизиты счета для перечисления задолженности»</w:t>
        </w:r>
        <w:r>
          <w:tab/>
        </w:r>
        <w:r>
          <w:fldChar w:fldCharType="begin"/>
        </w:r>
        <w:r>
          <w:instrText xml:space="preserve"> PAGEREF _Toc146034985 \h </w:instrText>
        </w:r>
        <w:r/>
        <w:r>
          <w:fldChar w:fldCharType="separate"/>
        </w:r>
        <w:r>
          <w:t xml:space="preserve">62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6" w:anchor="_Toc146034986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26. ЭФ документа «Исполнительный документ в форме электронного документа», закладки «Результаты импорта»</w:t>
        </w:r>
        <w:r>
          <w:tab/>
        </w:r>
        <w:r>
          <w:fldChar w:fldCharType="begin"/>
        </w:r>
        <w:r>
          <w:instrText xml:space="preserve"> PAGEREF _Toc146034986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7" w:anchor="_Toc146034987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27. ЭФ документа «Исполнительный документ в форме электронного документа», закладки «Протоколы»</w:t>
        </w:r>
        <w:r>
          <w:tab/>
        </w:r>
        <w:r>
          <w:fldChar w:fldCharType="begin"/>
        </w:r>
        <w:r>
          <w:instrText xml:space="preserve"> PAGEREF _Toc146034987 \h </w:instrText>
        </w:r>
        <w:r/>
        <w:r>
          <w:fldChar w:fldCharType="separate"/>
        </w:r>
        <w:r>
          <w:t xml:space="preserve">64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8" w:anchor="_Toc146034988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28. ЭФ списка документов «Сообщение об изменении реквизитов Л/С для ФНС»</w:t>
        </w:r>
        <w:r>
          <w:tab/>
        </w:r>
        <w:r>
          <w:fldChar w:fldCharType="begin"/>
        </w:r>
        <w:r>
          <w:instrText xml:space="preserve"> PAGEREF _Toc146034988 \h </w:instrText>
        </w:r>
        <w:r/>
        <w:r>
          <w:fldChar w:fldCharType="separate"/>
        </w:r>
        <w:r>
          <w:t xml:space="preserve">65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89" w:anchor="_Toc146034989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29. ЭФ документа «Сообщение об изменении реквизитов Л/С для ФНС»</w:t>
        </w:r>
        <w:r>
          <w:tab/>
        </w:r>
        <w:r>
          <w:fldChar w:fldCharType="begin"/>
        </w:r>
        <w:r>
          <w:instrText xml:space="preserve"> PAGEREF _Toc146034989 \h </w:instrText>
        </w:r>
        <w:r/>
        <w:r>
          <w:fldChar w:fldCharType="separate"/>
        </w:r>
        <w:r>
          <w:t xml:space="preserve">66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90" w:anchor="_Toc146034990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30. ЭФ списка документов «Сообщение об открытии/закрытии Л/С для ФНС»</w:t>
        </w:r>
        <w:r>
          <w:tab/>
        </w:r>
        <w:r>
          <w:fldChar w:fldCharType="begin"/>
        </w:r>
        <w:r>
          <w:instrText xml:space="preserve"> PAGEREF _Toc146034990 \h </w:instrText>
        </w:r>
        <w:r/>
        <w:r>
          <w:fldChar w:fldCharType="separate"/>
        </w:r>
        <w:r>
          <w:t xml:space="preserve">68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91" w:anchor="_Toc146034991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31. ЭФ документа «Сообщение об открытии/закрытии Л/С для ФНС»</w:t>
        </w:r>
        <w:r>
          <w:tab/>
        </w:r>
        <w:r>
          <w:fldChar w:fldCharType="begin"/>
        </w:r>
        <w:r>
          <w:instrText xml:space="preserve"> PAGEREF _Toc146034991 \h </w:instrText>
        </w:r>
        <w:r/>
        <w:r>
          <w:fldChar w:fldCharType="separate"/>
        </w:r>
        <w:r>
          <w:t xml:space="preserve">69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92" w:anchor="_Toc146034992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32. ЭФ списка входящих документов «Информационное сообщение»</w:t>
        </w:r>
        <w:r>
          <w:tab/>
        </w:r>
        <w:r>
          <w:fldChar w:fldCharType="begin"/>
        </w:r>
        <w:r>
          <w:instrText xml:space="preserve"> PAGEREF _Toc146034992 \h </w:instrText>
        </w:r>
        <w:r/>
        <w:r>
          <w:fldChar w:fldCharType="separate"/>
        </w:r>
        <w:r>
          <w:t xml:space="preserve">71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93" w:anchor="_Toc146034993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33. ЭФ документа «Информационное сообщение», закладки «Документ»</w:t>
        </w:r>
        <w:r>
          <w:tab/>
        </w:r>
        <w:r>
          <w:fldChar w:fldCharType="begin"/>
        </w:r>
        <w:r>
          <w:instrText xml:space="preserve"> PAGEREF _Toc146034993 \h </w:instrText>
        </w:r>
        <w:r/>
        <w:r>
          <w:fldChar w:fldCharType="separate"/>
        </w:r>
        <w:r>
          <w:t xml:space="preserve">72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1116"/>
        <w:rPr>
          <w:rFonts w:ascii="Calibri" w:hAnsi="Calibri"/>
          <w:sz w:val="22"/>
          <w:szCs w:val="22"/>
        </w:rPr>
      </w:pPr>
      <w:r/>
      <w:hyperlink w:tooltip="#_Toc146034994" w:anchor="_Toc146034994" w:history="1">
        <w:r>
          <w:rPr>
            <w:rStyle w:val="984"/>
          </w:rPr>
          <w:t xml:space="preserve">Рисунок </w:t>
        </w:r>
        <w:r>
          <w:rPr>
            <w:rFonts w:ascii="Calibri" w:hAnsi="Calibri"/>
            <w:sz w:val="22"/>
            <w:szCs w:val="22"/>
          </w:rPr>
          <w:tab/>
        </w:r>
        <w:r>
          <w:rPr>
            <w:rStyle w:val="984"/>
          </w:rPr>
          <w:t xml:space="preserve">34. ЭФ «Добавление вложения»</w:t>
        </w:r>
        <w:r>
          <w:tab/>
        </w:r>
        <w:r>
          <w:fldChar w:fldCharType="begin"/>
        </w:r>
        <w:r>
          <w:instrText xml:space="preserve"> PAGEREF _Toc146034994 \h </w:instrText>
        </w:r>
        <w:r/>
        <w:r>
          <w:fldChar w:fldCharType="separate"/>
        </w:r>
        <w:r>
          <w:t xml:space="preserve">75</w:t>
        </w:r>
        <w:r>
          <w:fldChar w:fldCharType="end"/>
        </w:r>
      </w:hyperlink>
      <w:r/>
      <w:r>
        <w:rPr>
          <w:rFonts w:ascii="Calibri" w:hAnsi="Calibri"/>
          <w:sz w:val="22"/>
          <w:szCs w:val="22"/>
        </w:rPr>
      </w:r>
    </w:p>
    <w:p>
      <w:pPr>
        <w:pStyle w:val="958"/>
      </w:pPr>
      <w:r>
        <w:fldChar w:fldCharType="end"/>
      </w:r>
      <w:r/>
    </w:p>
    <w:p>
      <w:pPr>
        <w:pStyle w:val="962"/>
      </w:pPr>
      <w:r/>
      <w:bookmarkStart w:id="5" w:name="_Toc146034892"/>
      <w:r>
        <w:t xml:space="preserve">Перечень ссылочных документов</w:t>
      </w:r>
      <w:r>
        <w:rPr>
          <w:rStyle w:val="1005"/>
        </w:rPr>
        <w:footnoteReference w:id="2"/>
      </w:r>
      <w:bookmarkEnd w:id="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7"/>
        <w:gridCol w:w="2370"/>
        <w:gridCol w:w="3255"/>
        <w:gridCol w:w="887"/>
        <w:gridCol w:w="2653"/>
      </w:tblGrid>
      <w:tr>
        <w:tblPrEx/>
        <w:trPr>
          <w:tblHeader/>
        </w:trPr>
        <w:tc>
          <w:tcPr>
            <w:gridSpan w:val="2"/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6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документа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9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Код документа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5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Гриф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0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Номер ГК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" w:type="pct"/>
            <w:textDirection w:val="lrTb"/>
            <w:noWrap w:val="false"/>
          </w:tcPr>
          <w:p>
            <w:pPr>
              <w:pStyle w:val="973"/>
              <w:numPr>
                <w:ilvl w:val="0"/>
                <w:numId w:val="42"/>
              </w:numPr>
              <w:jc w:val="both"/>
              <w:spacing w:beforeAutospacing="1" w:afterAutospacing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pct"/>
            <w:textDirection w:val="lrTb"/>
            <w:noWrap w:val="false"/>
          </w:tcPr>
          <w:p>
            <w:pPr>
              <w:pStyle w:val="969"/>
            </w:pPr>
            <w:r>
              <w:t xml:space="preserve">Обучающие материалы «Основные принципы работы с ППО СУФД»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9" w:type="pct"/>
            <w:textDirection w:val="lrTb"/>
            <w:noWrap w:val="false"/>
          </w:tcPr>
          <w:p>
            <w:pPr>
              <w:pStyle w:val="969"/>
            </w:pPr>
            <w:r>
              <w:t xml:space="preserve">54819512.09.01,01.ОМ.004-05.00 2(4,5)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5" w:type="pct"/>
            <w:textDirection w:val="lrTb"/>
            <w:noWrap w:val="false"/>
          </w:tcPr>
          <w:p>
            <w:pPr>
              <w:pStyle w:val="969"/>
            </w:pPr>
            <w: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0" w:type="pct"/>
            <w:textDirection w:val="lrTb"/>
            <w:noWrap w:val="false"/>
          </w:tcPr>
          <w:p>
            <w:pPr>
              <w:pStyle w:val="969"/>
            </w:pPr>
            <w:r>
              <w:t xml:space="preserve">ФКУ0307/08/2023/РИС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" w:type="pct"/>
            <w:textDirection w:val="lrTb"/>
            <w:noWrap w:val="false"/>
          </w:tcPr>
          <w:p>
            <w:pPr>
              <w:pStyle w:val="973"/>
              <w:numPr>
                <w:ilvl w:val="0"/>
                <w:numId w:val="42"/>
              </w:numPr>
              <w:jc w:val="both"/>
              <w:spacing w:beforeAutospacing="1" w:afterAutospacing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pct"/>
            <w:textDirection w:val="lrTb"/>
            <w:noWrap w:val="false"/>
          </w:tcPr>
          <w:p>
            <w:pPr>
              <w:pStyle w:val="969"/>
            </w:pPr>
            <w:r>
              <w:t xml:space="preserve">Руководство по администрированию системы «Руководство по установке и настройке системы (СУФД)»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9" w:type="pct"/>
            <w:textDirection w:val="lrTb"/>
            <w:noWrap w:val="false"/>
          </w:tcPr>
          <w:p>
            <w:pPr>
              <w:pStyle w:val="969"/>
            </w:pPr>
            <w:r>
              <w:t xml:space="preserve">54819512.09.01,00.ИА.005-06.00 1(2,4,5)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5" w:type="pct"/>
            <w:textDirection w:val="lrTb"/>
            <w:noWrap w:val="false"/>
          </w:tcPr>
          <w:p>
            <w:pPr>
              <w:pStyle w:val="969"/>
            </w:pPr>
            <w: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0" w:type="pct"/>
            <w:textDirection w:val="lrTb"/>
            <w:noWrap w:val="false"/>
          </w:tcPr>
          <w:p>
            <w:pPr>
              <w:pStyle w:val="969"/>
            </w:pPr>
            <w:r>
              <w:t xml:space="preserve">ФКУ0307/08/2023/РИС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1" w:type="pct"/>
            <w:textDirection w:val="lrTb"/>
            <w:noWrap w:val="false"/>
          </w:tcPr>
          <w:p>
            <w:pPr>
              <w:pStyle w:val="973"/>
              <w:numPr>
                <w:ilvl w:val="0"/>
                <w:numId w:val="42"/>
              </w:numPr>
              <w:jc w:val="both"/>
              <w:spacing w:beforeAutospacing="1" w:afterAutospacing="1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15" w:type="pct"/>
            <w:textDirection w:val="lrTb"/>
            <w:noWrap w:val="false"/>
          </w:tcPr>
          <w:p>
            <w:pPr>
              <w:pStyle w:val="969"/>
            </w:pPr>
            <w:r>
              <w:t xml:space="preserve">Обучающие материалы «Руководство по работе со справочниками в ППО СУФД»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69" w:type="pct"/>
            <w:textDirection w:val="lrTb"/>
            <w:noWrap w:val="false"/>
          </w:tcPr>
          <w:p>
            <w:pPr>
              <w:pStyle w:val="969"/>
            </w:pPr>
            <w:r>
              <w:t xml:space="preserve">54819512.09.01,03.ОМ.001-15.00 1(2)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5" w:type="pct"/>
            <w:textDirection w:val="lrTb"/>
            <w:noWrap w:val="false"/>
          </w:tcPr>
          <w:p>
            <w:pPr>
              <w:pStyle w:val="969"/>
            </w:pPr>
            <w:r>
              <w:t xml:space="preserve">-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60" w:type="pct"/>
            <w:textDirection w:val="lrTb"/>
            <w:noWrap w:val="false"/>
          </w:tcPr>
          <w:p>
            <w:pPr>
              <w:pStyle w:val="969"/>
            </w:pPr>
            <w:r>
              <w:t xml:space="preserve">ФКУ0307/08/2023/РИС</w:t>
            </w:r>
            <w:r/>
          </w:p>
        </w:tc>
      </w:tr>
    </w:tbl>
    <w:p>
      <w:r/>
      <w:r/>
    </w:p>
    <w:p>
      <w:pPr>
        <w:pStyle w:val="934"/>
      </w:pPr>
      <w:r/>
      <w:bookmarkStart w:id="6" w:name="_Toc146034893"/>
      <w:r>
        <w:t xml:space="preserve">Введение</w:t>
      </w:r>
      <w:bookmarkEnd w:id="1"/>
      <w:r/>
      <w:bookmarkEnd w:id="6"/>
      <w:r/>
      <w:r/>
    </w:p>
    <w:p>
      <w:pPr>
        <w:pStyle w:val="935"/>
      </w:pPr>
      <w:r/>
      <w:bookmarkStart w:id="7" w:name="_Toc225916460"/>
      <w:r/>
      <w:bookmarkStart w:id="8" w:name="_Toc232827269"/>
      <w:r/>
      <w:bookmarkStart w:id="9" w:name="_Toc247608847"/>
      <w:r/>
      <w:bookmarkStart w:id="10" w:name="_Toc401059254"/>
      <w:r/>
      <w:bookmarkStart w:id="11" w:name="_Toc146034894"/>
      <w:r/>
      <w:bookmarkStart w:id="12" w:name="_Toc225916464"/>
      <w:r/>
      <w:bookmarkStart w:id="13" w:name="_Toc232827275"/>
      <w:r/>
      <w:bookmarkStart w:id="14" w:name="_Toc236822626"/>
      <w:r/>
      <w:bookmarkEnd w:id="2"/>
      <w:r>
        <w:t xml:space="preserve">Область применения</w:t>
      </w:r>
      <w:bookmarkEnd w:id="7"/>
      <w:r/>
      <w:bookmarkEnd w:id="8"/>
      <w:r/>
      <w:bookmarkEnd w:id="9"/>
      <w:r/>
      <w:bookmarkEnd w:id="10"/>
      <w:r/>
      <w:bookmarkEnd w:id="11"/>
      <w:r/>
      <w:r/>
    </w:p>
    <w:p>
      <w:pPr>
        <w:pStyle w:val="958"/>
      </w:pPr>
      <w:r/>
      <w:bookmarkStart w:id="15" w:name="_Toc107037951"/>
      <w:r>
        <w:t xml:space="preserve">Настоящий документ содержит описание работы с автоматизированным рабочим местом пользователя </w:t>
      </w:r>
      <w:r>
        <w:rPr>
          <w:szCs w:val="24"/>
        </w:rPr>
        <w:t xml:space="preserve">Разные участники ЭОД</w:t>
      </w:r>
      <w:r>
        <w:t xml:space="preserve">, включенным в систему удаленного финансового документооборота Федерального казначейства.</w:t>
      </w:r>
      <w:r/>
    </w:p>
    <w:p>
      <w:pPr>
        <w:pStyle w:val="935"/>
      </w:pPr>
      <w:r/>
      <w:bookmarkStart w:id="16" w:name="_Toc146034895"/>
      <w:r/>
      <w:bookmarkStart w:id="17" w:name="_Toc221011455"/>
      <w:r/>
      <w:bookmarkStart w:id="18" w:name="_Toc221012156"/>
      <w:r/>
      <w:bookmarkStart w:id="19" w:name="_Toc225934537"/>
      <w:r>
        <w:t xml:space="preserve">Краткое описание возможностей</w:t>
      </w:r>
      <w:bookmarkEnd w:id="16"/>
      <w:r/>
      <w:r/>
    </w:p>
    <w:p>
      <w:pPr>
        <w:pStyle w:val="958"/>
      </w:pPr>
      <w:r>
        <w:t xml:space="preserve">Возможности системы обеспечивают поддержку автоматизированного, законодательно и юридически правомочного документооборота между участниками бюджетного процесса.</w:t>
      </w:r>
      <w:r/>
    </w:p>
    <w:p>
      <w:pPr>
        <w:pStyle w:val="958"/>
      </w:pPr>
      <w:r>
        <w:t xml:space="preserve">Помимо поддержки документооборота, данное автоматизированное рабочее место обеспечивает также хранение документов в базе данных </w:t>
      </w:r>
      <w:r>
        <w:t xml:space="preserve">на уровне</w:t>
      </w:r>
      <w:r>
        <w:t xml:space="preserve"> </w:t>
      </w:r>
      <w:r>
        <w:rPr>
          <w:szCs w:val="24"/>
        </w:rPr>
        <w:t xml:space="preserve">Разные участники ЭОД</w:t>
      </w:r>
      <w:r>
        <w:t xml:space="preserve">.</w:t>
      </w:r>
      <w:r/>
    </w:p>
    <w:p>
      <w:pPr>
        <w:pStyle w:val="935"/>
      </w:pPr>
      <w:r/>
      <w:bookmarkStart w:id="20" w:name="_Ref143869158"/>
      <w:r/>
      <w:bookmarkStart w:id="21" w:name="_Toc146034896"/>
      <w:r>
        <w:t xml:space="preserve">Уровень подготовки пользователя</w:t>
      </w:r>
      <w:bookmarkEnd w:id="20"/>
      <w:r/>
      <w:bookmarkEnd w:id="21"/>
      <w:r/>
      <w:r/>
    </w:p>
    <w:p>
      <w:pPr>
        <w:pStyle w:val="958"/>
      </w:pPr>
      <w:r>
        <w:t xml:space="preserve">Пользователи, работающие с ППО АСФК, должны обладать практическими навыками работы с графическим пользовательским интерфейсом операционных систем семейства Windows, а также на</w:t>
      </w:r>
      <w:r>
        <w:t xml:space="preserve">выками в работе с семейством операционных систем Linux, версии которых присутствуют в едином реестре российских программ для электронных вычислительных машин и баз данных Министерства цифрового развития, связи и массовых коммуникаций Российской Федерации. </w:t>
      </w:r>
      <w:r/>
    </w:p>
    <w:p>
      <w:pPr>
        <w:pStyle w:val="958"/>
      </w:pPr>
      <w:r>
        <w:t xml:space="preserve">Кроме этого пользователям, работающим в АСФК через </w:t>
      </w:r>
      <w:r>
        <w:rPr>
          <w:lang w:val="en-US"/>
        </w:rPr>
        <w:t xml:space="preserve">web</w:t>
      </w:r>
      <w:r>
        <w:t xml:space="preserve">-интерфейс, необходим опыт практи</w:t>
      </w:r>
      <w:r>
        <w:t xml:space="preserve">ческой работы в следующих интернет-обозревателях: Mozilla Firefox, Google Chrome, а также Яндекс.Браузер (версия 19.1 и выше) и Сhromium-gost (версии 83.0.4103.106 и выше) на одной из операционных систем Linux: Astra Linux SE, ALT Linux, Гослинукс, Ред ОС.</w:t>
      </w:r>
      <w:r/>
    </w:p>
    <w:p>
      <w:pPr>
        <w:pStyle w:val="959"/>
      </w:pPr>
      <w:r>
        <w:t xml:space="preserve">Перечень необходимых для изучения пользователем документов, ссылки на которые приведены по тексту настоящего документа</w:t>
      </w:r>
      <w:r>
        <w:t xml:space="preserve">:</w:t>
      </w:r>
      <w:r/>
    </w:p>
    <w:p>
      <w:pPr>
        <w:pStyle w:val="949"/>
      </w:pPr>
      <w:r>
        <w:t xml:space="preserve">обучающие материалы «Основные принципы работы с ППО СУФД»</w:t>
      </w:r>
      <w:r>
        <w:t xml:space="preserve">;</w:t>
      </w:r>
      <w:r/>
    </w:p>
    <w:p>
      <w:pPr>
        <w:pStyle w:val="949"/>
      </w:pPr>
      <w:r>
        <w:t xml:space="preserve">руководство по администрированию системы «Руководство по установке и настройке системы (СУФД)»</w:t>
      </w:r>
      <w:r>
        <w:t xml:space="preserve">;</w:t>
      </w:r>
      <w:r/>
    </w:p>
    <w:p>
      <w:pPr>
        <w:pStyle w:val="949"/>
      </w:pPr>
      <w:r>
        <w:t xml:space="preserve">обучающие материалы «Руководство по работе со справочниками в ППО СУФД».</w:t>
      </w:r>
      <w:r/>
    </w:p>
    <w:p>
      <w:pPr>
        <w:pStyle w:val="935"/>
      </w:pPr>
      <w:r/>
      <w:bookmarkStart w:id="22" w:name="_Toc146034897"/>
      <w:r>
        <w:t xml:space="preserve">Список принятых терминов и сокращений</w:t>
      </w:r>
      <w:bookmarkEnd w:id="22"/>
      <w:r/>
      <w:r/>
    </w:p>
    <w:p>
      <w:pPr>
        <w:pStyle w:val="958"/>
      </w:pPr>
      <w:r>
        <w:t xml:space="preserve">Сокращения и условные обозначения, встречающиеся в данном документе, приведены в таблице </w:t>
      </w:r>
      <w:r>
        <w:fldChar w:fldCharType="begin"/>
      </w:r>
      <w:r>
        <w:instrText xml:space="preserve"> REF _Ref227612515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  <w:bookmarkEnd w:id="15"/>
      <w:bookmarkEnd w:id="17"/>
      <w:bookmarkEnd w:id="18"/>
      <w:bookmarkEnd w:id="19"/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3" w:name="_Ref227612515"/>
      <w:r/>
      <w:bookmarkStart w:id="24" w:name="_Toc146034945"/>
      <w:r>
        <w:t xml:space="preserve">1</w:t>
      </w:r>
      <w:bookmarkEnd w:id="23"/>
      <w:r>
        <w:fldChar w:fldCharType="end"/>
      </w:r>
      <w:r>
        <w:t xml:space="preserve">. Условные обозначения и сокращения</w:t>
      </w:r>
      <w:bookmarkEnd w:id="2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8"/>
        <w:gridCol w:w="1724"/>
        <w:gridCol w:w="7530"/>
      </w:tblGrid>
      <w:tr>
        <w:tblPrEx/>
        <w:trPr>
          <w:tblHeader/>
        </w:trPr>
        <w:tc>
          <w:tcPr>
            <w:gridSpan w:val="2"/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9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Термин</w:t>
            </w:r>
            <w:r>
              <w:t xml:space="preserve">/</w:t>
            </w:r>
            <w:r>
              <w:br/>
              <w:t xml:space="preserve">сокращение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61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Содержание</w:t>
            </w:r>
            <w:r/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Excel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Microsoft </w:t>
            </w:r>
            <w:r>
              <w:rPr>
                <w:szCs w:val="22"/>
                <w:lang w:val="en-US"/>
              </w:rPr>
              <w:t xml:space="preserve">Excel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GUID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  <w:lang w:val="en-US"/>
              </w:rPr>
              <w:t xml:space="preserve">Globally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Unique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  <w:lang w:val="en-US"/>
              </w:rPr>
              <w:t xml:space="preserve">Identifier</w:t>
            </w:r>
            <w:r>
              <w:rPr>
                <w:szCs w:val="22"/>
              </w:rPr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</w:t>
            </w:r>
            <w:r>
              <w:rPr>
                <w:szCs w:val="22"/>
              </w:rPr>
              <w:t xml:space="preserve">XXXXXXXX-XXXX-XXXX-XXXX-XXXXXXXXXXXX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Java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Язык программирования и платформа создания приложений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OEBS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 на базе модулей Oracle Е-Business Suite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Администратор поступлений в бюджет – администратор доходов бюджетов, администратор источников финансирования дефицита бюджетов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АРМ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Автоматизированное рабочее место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АРМ ГРБС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Автоматизированное рабочее место пользователя – главного распорядителя средств, включенное в систему удаленного финансового документооборота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АРМ ДУБП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Автоматизированное рабочее место пользователя – клиента Федерального казначейства, включенное в систему удаленного финансового документооборота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АСФК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Автоматизированная система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Банк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Учреждение Центрального банка Российской Федерации или кредитная организация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БИК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Банковский идентификационный код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Бюджетная классификация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БУ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Бюджетное учреждение – н</w:t>
            </w:r>
            <w:r>
              <w:rPr>
                <w:szCs w:val="22"/>
              </w:rPr>
              <w:t xml:space="preserve">екоммерческая организация, созданная Российской Федерацией, субъектом Российской Федерации или муниципальным образованием для выполнения работ, оказания услуг, в целях обеспечения реализации предусмотренных законодательством Российской Федерации полномочий</w:t>
            </w:r>
            <w:r>
              <w:rPr>
                <w:szCs w:val="22"/>
              </w:rPr>
              <w:t xml:space="preserve"> соответственно органов государственной власти (государственных органов) или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ВС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Внешняя система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ВФ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Визуальная форма формуляра/справочника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ГРБС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Главный распорядитель бюджетных средств (главный распорядитель средств соответствующего бюджета) – орган государственной</w:t>
            </w:r>
            <w:r>
              <w:rPr>
                <w:szCs w:val="22"/>
              </w:rPr>
              <w:t xml:space="preserve">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</w:t>
            </w:r>
            <w:r>
              <w:rPr>
                <w:szCs w:val="22"/>
              </w:rPr>
              <w:t xml:space="preserve">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средств, если иное не установлено Бюджетным кодексом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Должник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Федеральное бюджетное учреждение, в адрес которого поступило обращение взыскания на средства федерального бюджета по денежным обязательствам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Запрос на аннулирование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Запрос на аннулирование заявки (консолидированной заявки)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Исполнительный документ (исполнительный лист, судебный приказ)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ИНН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Идентификационный номер налогоплательщика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Информационная система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ИТ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Информационные технологии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КБК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Код бюджетной классификации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Клиент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</w:t>
            </w:r>
            <w:r>
              <w:rPr>
                <w:szCs w:val="22"/>
              </w:rPr>
              <w:t xml:space="preserve">едерации участником бюджетного процесса, бюджетным (автономным) учреждением,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Кнопка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Контекстное меню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КОФК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Классификатор органов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КПП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Код причины постановки на налоговый учет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МБ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Бюджет муниципального образования (местный бюджет)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МФ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Министерство финансов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НПА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Нормативный правовой акт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НУБП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Неучастник бюджетного процесса – юридическое лицо (его обособленное подразделение), не являющееся в соответствии с Бюджетным кодексом Российской Федерации участником бюджетного процесса, </w:t>
            </w:r>
            <w:r>
              <w:rPr>
                <w:szCs w:val="22"/>
              </w:rPr>
              <w:t xml:space="preserve">бюджетным и автономным учреждением, индивидуальный предприниматель, физическое лицо – производитель товаров, работ, услуг, которым в случаях, установленных законодательством Российской Федерации, открываются лицевые счета в органе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Обращение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Обращение высших исполнительных органов государственной власти субъектов Российской Федерации (местных администраций), органов управления государственными внебюджетн</w:t>
            </w:r>
            <w:r>
              <w:rPr>
                <w:szCs w:val="22"/>
              </w:rPr>
              <w:t xml:space="preserve">ыми фондами о передаче (прекращении осуществления) отдельных функций финансовых органов субъектов Российской Федерации (муниципальных образований), органов управления государственными внебюджетными фондами в территориальные органы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ОГРН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Основной государственный регистрационный номер – государственный регистрационный номер записи, вносимой в Единый государственный реестр юридических лиц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ОЗУ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Оперативное запоминающее устройство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Открытый контур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ОКОГУ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Общероссийский классификатор органов государственной власти и управления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ОКТМО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Общероссийский классификатор территорий муниципальных образований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Операция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Последовательность действий автоматизированно</w:t>
            </w:r>
            <w:r>
              <w:rPr>
                <w:szCs w:val="22"/>
              </w:rPr>
              <w:t xml:space="preserve">й системы над бизнес-объектом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ОрФК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Операционная система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Отдел Управления Федерального казначейства по субъекту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Параметры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Данные полей документа, справочников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ПБС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Получатель бюджетных средств (получатель средств </w:t>
            </w:r>
            <w:r>
              <w:rPr>
                <w:szCs w:val="22"/>
              </w:rPr>
              <w:t xml:space="preserve">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находящееся в ведении главного распорядителя (распорядителя)</w:t>
            </w:r>
            <w:r>
              <w:rPr>
                <w:szCs w:val="22"/>
              </w:rPr>
              <w:t xml:space="preserve">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ПЗУ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Электронный документ «Запрос на выяснение принадлежности платежа»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ПО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Программное обеспечение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Пользователь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Лицо или организация, которое использует действующую систему для выполнения конкретной функции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ППО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ППО АСФК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 Автоматизированной системы Федерального казначейства, включающее компоненты:</w:t>
            </w:r>
            <w:r>
              <w:rPr>
                <w:szCs w:val="22"/>
              </w:rPr>
            </w:r>
          </w:p>
          <w:p>
            <w:pPr>
              <w:pStyle w:val="971"/>
              <w:rPr>
                <w:szCs w:val="22"/>
              </w:rPr>
            </w:pPr>
            <w:r>
              <w:rPr>
                <w:szCs w:val="22"/>
              </w:rPr>
              <w:t xml:space="preserve">Oracle E-Business Suite – компонент, обеспечивающий реализацию учетных функций;</w:t>
            </w:r>
            <w:r>
              <w:rPr>
                <w:szCs w:val="22"/>
              </w:rPr>
            </w:r>
          </w:p>
          <w:p>
            <w:pPr>
              <w:pStyle w:val="971"/>
              <w:rPr>
                <w:szCs w:val="22"/>
              </w:rPr>
            </w:pPr>
            <w:r>
              <w:rPr>
                <w:szCs w:val="22"/>
              </w:rPr>
              <w:t xml:space="preserve"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  <w:r>
              <w:rPr>
                <w:szCs w:val="22"/>
              </w:rPr>
            </w:r>
          </w:p>
          <w:p>
            <w:pPr>
              <w:pStyle w:val="971"/>
              <w:rPr>
                <w:szCs w:val="22"/>
              </w:rPr>
            </w:pPr>
            <w:r>
              <w:rPr>
                <w:szCs w:val="22"/>
              </w:rPr>
              <w:t xml:space="preserve">Oracle Hyperion – компонент, обеспечивающий реализацию функции планирования модуля «Кассовое планирование»;</w:t>
            </w:r>
            <w:r>
              <w:rPr>
                <w:szCs w:val="22"/>
              </w:rPr>
            </w:r>
          </w:p>
          <w:p>
            <w:pPr>
              <w:pStyle w:val="971"/>
              <w:rPr>
                <w:szCs w:val="22"/>
              </w:rPr>
            </w:pPr>
            <w:r>
              <w:rPr>
                <w:szCs w:val="22"/>
              </w:rPr>
              <w:t xml:space="preserve">Интеграционная шина – компонент, обеспечивающий сервисное взаимодействие компонент Автоматизированной системы Федерального казначейства;</w:t>
            </w:r>
            <w:r>
              <w:rPr>
                <w:szCs w:val="22"/>
              </w:rPr>
            </w:r>
          </w:p>
          <w:p>
            <w:pPr>
              <w:pStyle w:val="971"/>
              <w:rPr>
                <w:szCs w:val="22"/>
              </w:rPr>
            </w:pPr>
            <w:r>
              <w:rPr>
                <w:szCs w:val="22"/>
              </w:rPr>
              <w:t xml:space="preserve">Средство защиты информации – компонент, обеспечивающий информа</w:t>
            </w:r>
            <w:r>
              <w:rPr>
                <w:szCs w:val="22"/>
              </w:rPr>
              <w:t xml:space="preserve">ционную безопасность компонент Автоматизированной системы Федерального казначейства;</w:t>
            </w:r>
            <w:r>
              <w:rPr>
                <w:szCs w:val="22"/>
              </w:rPr>
            </w:r>
          </w:p>
          <w:p>
            <w:pPr>
              <w:pStyle w:val="971"/>
              <w:rPr>
                <w:szCs w:val="22"/>
              </w:rPr>
            </w:pPr>
            <w:r>
              <w:rPr>
                <w:szCs w:val="22"/>
              </w:rPr>
              <w:t xml:space="preserve"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ППО СУФД АСФК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Протокол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Информационный объект, содержащий результаты обработки других информационных объектов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ПУБП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Перечень участников бюджетного процесса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РБС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Распорядитель бюджетных средств (распорядитель средств соответствующего бюджета) – орган государственной власти (государственный орган), орган управления государственным внебюд</w:t>
            </w:r>
            <w:r>
              <w:rPr>
                <w:szCs w:val="22"/>
              </w:rPr>
              <w:t xml:space="preserve">жетным фондом, орган местного самоуправления, орган местной администрации, казенное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РУБП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Реестр участников бюджетного процесса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СР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Сводный реестр. Реестр участников бюджетного процесса, а также юридических лиц, не являющихся участниками бюджетного процесса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СРРПБС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Сводный реестр главных распорядителей, распорядителей и получателей сре</w:t>
            </w:r>
            <w:r>
              <w:rPr>
                <w:szCs w:val="22"/>
              </w:rPr>
              <w:t xml:space="preserve">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– структурированный перечень участников бюджетного процесса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Статистические данные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СУФД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Система удаленного финансового документооборота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СЭД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Система электронного документооборота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ТОФК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Территориальный орган Федерального казначейства. К территориальным органам Федерального казначейства относя</w:t>
            </w:r>
            <w:r>
              <w:rPr>
                <w:szCs w:val="22"/>
              </w:rPr>
              <w:t xml:space="preserve">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Межрегиональное управление Федеральног</w:t>
            </w:r>
            <w:r>
              <w:rPr>
                <w:szCs w:val="22"/>
              </w:rPr>
              <w:t xml:space="preserve">о казначейства в сфере управления ликвидностью, управления Федерального казначейства по субъектам Российской Федерации, Межрегиональное контрактное управление Федерального казначейства, управления Федерального казначейства по субъектам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ТФФ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Требования, предъявляемые к форматам файлов при информационном взаимодействии со смежными системами прикладного программного обеспечения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УБП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Участ</w:t>
            </w:r>
            <w:r>
              <w:rPr>
                <w:szCs w:val="22"/>
              </w:rPr>
              <w:t xml:space="preserve">ник бюджетного процесса – главный распорядитель бюджетных средств, распорядитель бюджетных средств, получатель бюджетных средств; иной получатель бюджетных средств; главный администратор доходов бюджета, администратор доходов бюджета с полномочиями главног</w:t>
            </w:r>
            <w:r>
              <w:rPr>
                <w:szCs w:val="22"/>
              </w:rPr>
              <w:t xml:space="preserve">о администратора, администратор доходов бюджета; главный администратор источников финансирования дефицита бюджета, администратор источников финансирования дефицита бюджета с полномочиями главного администратора, администратор источников финансирования дефи</w:t>
            </w:r>
            <w:r>
              <w:rPr>
                <w:szCs w:val="22"/>
              </w:rPr>
              <w:t xml:space="preserve">цита бюджета, финансовый орган, орган управления государственным внебюджетным фондом Российской Федерации, территориальный орган государственного внебюджетного фонда Российской Федерации, орган управления территориальным государственным внебюджетным фондом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Уведомление (протокол)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Электронный документ «Уведомление (протокол) обработки документа»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УИН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Уникальный идентификатор начисления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Уполномоченное подразделение – обособленное подразделение, не наделенное обязанностью ведения бухгалтерского (бюджетного) учета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Управление Федерального казначейства по субъекту Российской Федерации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ФИО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Фамилия, имя, отчество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Федеральное казначейство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ФНС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Федеральная налоговая служба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ФО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Финансовые органы – Министерство финансов Российской Федерации, органы исполнительной власти субъектов Российской Федерации, осуществляющие составление и организацию исполнения бюджетов субъекта Россий</w:t>
            </w:r>
            <w:r>
              <w:rPr>
                <w:szCs w:val="22"/>
              </w:rPr>
              <w:t xml:space="preserve">ской Федерации (финансовые органы субъекта Российской Федерации),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ЦАФК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Центральный аппарат Федерального казначейства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Электронный документ, аналог бумажного документа</w:t>
            </w:r>
            <w:r>
              <w:rPr>
                <w:szCs w:val="22"/>
              </w:rPr>
              <w:t xml:space="preserve">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ЭОД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Электронный обмен документами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ЭП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  <w:r>
              <w:rPr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W w:w="255" w:type="pct"/>
            <w:textDirection w:val="lrTb"/>
            <w:noWrap w:val="false"/>
          </w:tcPr>
          <w:p>
            <w:pPr>
              <w:pStyle w:val="973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884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ЭФ</w:t>
            </w:r>
            <w:r>
              <w:rPr>
                <w:szCs w:val="22"/>
              </w:rPr>
            </w:r>
          </w:p>
        </w:tc>
        <w:tc>
          <w:tcPr>
            <w:shd w:val="clear" w:color="auto" w:fill="auto"/>
            <w:tcW w:w="3861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Экранная форма – визуальная форма электронного документа в интерфейсе прикладного программного обеспечения</w:t>
            </w:r>
            <w:r>
              <w:rPr>
                <w:szCs w:val="22"/>
              </w:rPr>
            </w:r>
          </w:p>
        </w:tc>
      </w:tr>
    </w:tbl>
    <w:p>
      <w:pPr>
        <w:pStyle w:val="938"/>
      </w:pPr>
      <w:r/>
      <w:bookmarkStart w:id="25" w:name="_Toc232827274"/>
      <w:r>
        <w:t xml:space="preserve">Элементы оформления</w:t>
      </w:r>
      <w:bookmarkEnd w:id="25"/>
      <w:r/>
      <w:r/>
    </w:p>
    <w:p>
      <w:pPr>
        <w:pStyle w:val="958"/>
      </w:pPr>
      <w:r>
        <w:t xml:space="preserve">Кнопки экранных форм или окон, в тексте обозначаются следующим образом: «</w:t>
      </w:r>
      <w:r>
        <w:rPr>
          <w:lang w:val="en-US"/>
        </w:rPr>
        <w:t xml:space="preserve">OK</w:t>
      </w:r>
      <w:r>
        <w:t xml:space="preserve">», «Выйти», «Отмена» и т.д. Кнопки, расположенные на панели инструментов, обозначаются следующим образом: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8600" cy="228600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.00pt;height:18.0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t xml:space="preserve"> (Сохранить),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8125" cy="238125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8.75pt;height:18.7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t xml:space="preserve"> (Создать) и т.п.</w:t>
      </w:r>
      <w:r/>
    </w:p>
    <w:p>
      <w:pPr>
        <w:pStyle w:val="958"/>
      </w:pPr>
      <w:r>
        <w:t xml:space="preserve">Название пунктов меню, закладок, а также названия документов и справочников в тексте заключаются в кавычки. Например: справочник «КБК», пункт меню «О программе», закладка «Основная информация» и т.д.</w:t>
      </w:r>
      <w:r/>
    </w:p>
    <w:p>
      <w:pPr>
        <w:pStyle w:val="958"/>
      </w:pPr>
      <w:r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«Обработка</w:t>
      </w:r>
      <w:r>
        <w:t xml:space="preserve"> – </w:t>
      </w:r>
      <w:r>
        <w:t xml:space="preserve">Выгрузка данных» (пользователь должен последовательно выбрать пункт меню «Обработка», затем в открывшемся подменю пункт «Выгрузка данных»</w:t>
      </w:r>
      <w:r>
        <w:t xml:space="preserve">)</w:t>
      </w:r>
      <w:r>
        <w:t xml:space="preserve">.</w:t>
      </w:r>
      <w:r/>
    </w:p>
    <w:p>
      <w:pPr>
        <w:pStyle w:val="958"/>
      </w:pPr>
      <w:r>
        <w:t xml:space="preserve">Название файлов выделяются в тексте следующим образом: </w:t>
      </w:r>
      <w:r>
        <w:rPr>
          <w:lang w:val="en-US"/>
        </w:rPr>
        <w:t xml:space="preserve">setup</w:t>
      </w:r>
      <w:r>
        <w:t xml:space="preserve">.</w:t>
      </w:r>
      <w:r>
        <w:rPr>
          <w:lang w:val="en-US"/>
        </w:rPr>
        <w:t xml:space="preserve">exe</w:t>
      </w:r>
      <w:r>
        <w:t xml:space="preserve">.</w:t>
      </w:r>
      <w:r/>
    </w:p>
    <w:p>
      <w:pPr>
        <w:pStyle w:val="958"/>
      </w:pPr>
      <w:r>
        <w:t xml:space="preserve">Сведения, которые указывают на особенности данного описания, оформлены в виде примечаний, начинающихся со слова «</w:t>
      </w:r>
      <w:r>
        <w:rPr>
          <w:rStyle w:val="965"/>
        </w:rPr>
        <w:t xml:space="preserve">Примечание</w:t>
      </w:r>
      <w:r>
        <w:t xml:space="preserve">». Примечание может предшествовать целой главе, разделу, подразделу или следовать непосредственно за элементом, к которому оно относится.</w:t>
      </w:r>
      <w:r/>
    </w:p>
    <w:p>
      <w:pPr>
        <w:pStyle w:val="958"/>
      </w:pPr>
      <w:r>
        <w:t xml:space="preserve">Сведения, имеющие критический характер для работы системы или пользователя, оформлены в виде примечаний, которые начинаются со слова «</w:t>
      </w:r>
      <w:r>
        <w:rPr>
          <w:rStyle w:val="965"/>
        </w:rPr>
        <w:t xml:space="preserve">Внимание!</w:t>
      </w:r>
      <w:r>
        <w:t xml:space="preserve">». Как правило, эта информация имеет предупреждающий характер.</w:t>
      </w:r>
      <w:r/>
    </w:p>
    <w:p>
      <w:pPr>
        <w:pStyle w:val="958"/>
      </w:pPr>
      <w:r>
        <w:t xml:space="preserve"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  <w:r/>
    </w:p>
    <w:p>
      <w:pPr>
        <w:pStyle w:val="934"/>
      </w:pPr>
      <w:r/>
      <w:bookmarkStart w:id="26" w:name="_Toc401059258"/>
      <w:r/>
      <w:bookmarkStart w:id="27" w:name="_Toc146034898"/>
      <w:r/>
      <w:bookmarkEnd w:id="12"/>
      <w:r/>
      <w:bookmarkEnd w:id="13"/>
      <w:r/>
      <w:bookmarkEnd w:id="14"/>
      <w:r>
        <w:t xml:space="preserve">Назначение и условия применения</w:t>
      </w:r>
      <w:bookmarkEnd w:id="26"/>
      <w:r/>
      <w:bookmarkEnd w:id="27"/>
      <w:r/>
      <w:r/>
    </w:p>
    <w:p>
      <w:pPr>
        <w:pStyle w:val="935"/>
      </w:pPr>
      <w:r/>
      <w:bookmarkStart w:id="28" w:name="_Toc225916465"/>
      <w:r/>
      <w:bookmarkStart w:id="29" w:name="_Toc232827276"/>
      <w:r/>
      <w:bookmarkStart w:id="30" w:name="_Toc247608853"/>
      <w:r/>
      <w:bookmarkStart w:id="31" w:name="_Toc401059259"/>
      <w:r/>
      <w:bookmarkStart w:id="32" w:name="_Toc146034899"/>
      <w:r/>
      <w:bookmarkStart w:id="33" w:name="_Toc221011460"/>
      <w:r/>
      <w:bookmarkStart w:id="34" w:name="_Toc221012161"/>
      <w:r/>
      <w:bookmarkStart w:id="35" w:name="_Toc225934542"/>
      <w:r/>
      <w:bookmarkStart w:id="36" w:name="_Toc107037953"/>
      <w:r/>
      <w:bookmarkStart w:id="37" w:name="_Toc182196484"/>
      <w:r/>
      <w:bookmarkStart w:id="38" w:name="_Toc225916467"/>
      <w:r/>
      <w:bookmarkStart w:id="39" w:name="_Toc232827278"/>
      <w:r/>
      <w:bookmarkStart w:id="40" w:name="_Toc236822629"/>
      <w:r>
        <w:t xml:space="preserve">Виды деятельности, функции</w:t>
      </w:r>
      <w:bookmarkEnd w:id="28"/>
      <w:r/>
      <w:bookmarkEnd w:id="29"/>
      <w:r/>
      <w:bookmarkEnd w:id="30"/>
      <w:r/>
      <w:bookmarkEnd w:id="31"/>
      <w:r/>
      <w:bookmarkEnd w:id="32"/>
      <w:r/>
      <w:bookmarkEnd w:id="33"/>
      <w:bookmarkEnd w:id="34"/>
      <w:bookmarkEnd w:id="35"/>
      <w:r/>
    </w:p>
    <w:p>
      <w:pPr>
        <w:pStyle w:val="958"/>
      </w:pPr>
      <w:r>
        <w:t xml:space="preserve">АРМ Разные участники ЭОД </w:t>
      </w:r>
      <w:r>
        <w:t xml:space="preserve">представляет собой рабочее место пользователя </w:t>
      </w:r>
      <w:r>
        <w:rPr>
          <w:szCs w:val="24"/>
        </w:rPr>
        <w:t xml:space="preserve">организаци</w:t>
      </w:r>
      <w:r>
        <w:rPr>
          <w:szCs w:val="24"/>
        </w:rPr>
        <w:t xml:space="preserve">и</w:t>
      </w:r>
      <w:r>
        <w:rPr>
          <w:szCs w:val="24"/>
        </w:rPr>
        <w:t xml:space="preserve">, у котор</w:t>
      </w:r>
      <w:r>
        <w:rPr>
          <w:szCs w:val="24"/>
        </w:rPr>
        <w:t xml:space="preserve">ой</w:t>
      </w:r>
      <w:r>
        <w:rPr>
          <w:szCs w:val="24"/>
        </w:rPr>
        <w:t xml:space="preserve"> в ОрФК нет открытых лицевых счетов (далее – Прочие организации)</w:t>
      </w:r>
      <w:r>
        <w:t xml:space="preserve">, включенно</w:t>
      </w:r>
      <w:r>
        <w:t xml:space="preserve">й</w:t>
      </w:r>
      <w:r>
        <w:t xml:space="preserve"> в систему удаленного финансового документооборота Федерального казначейства.</w:t>
      </w:r>
      <w:r/>
    </w:p>
    <w:p>
      <w:pPr>
        <w:pStyle w:val="958"/>
      </w:pPr>
      <w:r>
        <w:t xml:space="preserve">АРМ Разные участники ЭОД </w:t>
      </w:r>
      <w:r>
        <w:t xml:space="preserve">предназначен</w:t>
      </w:r>
      <w:r>
        <w:t xml:space="preserve">о</w:t>
      </w:r>
      <w:r>
        <w:t xml:space="preserve"> для </w:t>
      </w:r>
      <w:r>
        <w:t xml:space="preserve">организаци</w:t>
      </w:r>
      <w:r>
        <w:t xml:space="preserve">и</w:t>
      </w:r>
      <w:r>
        <w:t xml:space="preserve"> и поддержк</w:t>
      </w:r>
      <w:r>
        <w:t xml:space="preserve">и</w:t>
      </w:r>
      <w:r>
        <w:t xml:space="preserve"> защищенного документооборота между </w:t>
      </w:r>
      <w:r>
        <w:t xml:space="preserve">ОрФК и организациями, которые не являются клиентами ФК, но в ходе осуществления своей деятельности обмениваются с ОрФК документами.</w:t>
      </w:r>
      <w:r/>
    </w:p>
    <w:p>
      <w:pPr>
        <w:pStyle w:val="935"/>
      </w:pPr>
      <w:r/>
      <w:bookmarkStart w:id="41" w:name="_Toc225916466"/>
      <w:r/>
      <w:bookmarkStart w:id="42" w:name="_Toc232827277"/>
      <w:r/>
      <w:bookmarkStart w:id="43" w:name="_Toc247608854"/>
      <w:r/>
      <w:bookmarkStart w:id="44" w:name="_Toc401059260"/>
      <w:r/>
      <w:bookmarkStart w:id="45" w:name="_Toc146034900"/>
      <w:r>
        <w:t xml:space="preserve">Программные и аппаратные требования к системе</w:t>
      </w:r>
      <w:bookmarkEnd w:id="41"/>
      <w:r/>
      <w:bookmarkEnd w:id="42"/>
      <w:r/>
      <w:bookmarkEnd w:id="43"/>
      <w:r/>
      <w:bookmarkEnd w:id="44"/>
      <w:r/>
      <w:bookmarkEnd w:id="45"/>
      <w:r/>
      <w:r/>
    </w:p>
    <w:p>
      <w:pPr>
        <w:pStyle w:val="958"/>
      </w:pPr>
      <w:r>
        <w:t xml:space="preserve">Для нормального запуска и функционирования </w:t>
      </w:r>
      <w:r>
        <w:t xml:space="preserve">АРМ Разные участники ЭОД </w:t>
      </w:r>
      <w:r>
        <w:t xml:space="preserve">необходимо выполнение ряда требований, которые перечислены ниже.</w:t>
      </w:r>
      <w:r/>
    </w:p>
    <w:p>
      <w:pPr>
        <w:pStyle w:val="958"/>
      </w:pPr>
      <w:r/>
      <w:bookmarkStart w:id="46" w:name="_Toc167600089"/>
      <w:r/>
      <w:bookmarkStart w:id="47" w:name="_Toc170885707"/>
      <w:r/>
      <w:bookmarkStart w:id="48" w:name="_Toc221011463"/>
      <w:r/>
      <w:bookmarkStart w:id="49" w:name="_Toc221012164"/>
      <w:r/>
      <w:bookmarkStart w:id="50" w:name="_Toc225934545"/>
      <w:r>
        <w:t xml:space="preserve">Минимальный состав аппаратных средств</w:t>
      </w:r>
      <w:bookmarkEnd w:id="46"/>
      <w:r/>
      <w:bookmarkEnd w:id="47"/>
      <w:r/>
      <w:bookmarkEnd w:id="48"/>
      <w:r/>
      <w:bookmarkEnd w:id="49"/>
      <w:r/>
      <w:bookmarkEnd w:id="50"/>
      <w:r>
        <w:t xml:space="preserve">:</w:t>
      </w:r>
      <w:r/>
    </w:p>
    <w:p>
      <w:pPr>
        <w:pStyle w:val="949"/>
      </w:pPr>
      <w:r>
        <w:t xml:space="preserve">Процессор x86 частота 2.0 ГГц;</w:t>
      </w:r>
      <w:r/>
    </w:p>
    <w:p>
      <w:pPr>
        <w:pStyle w:val="949"/>
      </w:pPr>
      <w:r>
        <w:t xml:space="preserve">ОЗУ 256 Мб;</w:t>
      </w:r>
      <w:r/>
    </w:p>
    <w:p>
      <w:pPr>
        <w:pStyle w:val="949"/>
      </w:pPr>
      <w:r>
        <w:t xml:space="preserve">ПЗУ 40 Гб;</w:t>
      </w:r>
      <w:r/>
    </w:p>
    <w:p>
      <w:pPr>
        <w:pStyle w:val="949"/>
      </w:pPr>
      <w:r>
        <w:t xml:space="preserve">Монитор 1024х768;</w:t>
      </w:r>
      <w:r/>
    </w:p>
    <w:p>
      <w:pPr>
        <w:pStyle w:val="949"/>
      </w:pPr>
      <w:r>
        <w:t xml:space="preserve">Сеть FastEthernet (100+ </w:t>
      </w:r>
      <w:r>
        <w:rPr>
          <w:lang w:val="en-US"/>
        </w:rPr>
        <w:t xml:space="preserve">Mbit</w:t>
      </w:r>
      <w:r>
        <w:t xml:space="preserve">/s).</w:t>
      </w:r>
      <w:r/>
    </w:p>
    <w:p>
      <w:pPr>
        <w:pStyle w:val="958"/>
      </w:pPr>
      <w:r/>
      <w:bookmarkStart w:id="51" w:name="_Toc167600090"/>
      <w:r/>
      <w:bookmarkStart w:id="52" w:name="_Toc170885708"/>
      <w:r/>
      <w:bookmarkStart w:id="53" w:name="_Toc221011464"/>
      <w:r/>
      <w:bookmarkStart w:id="54" w:name="_Toc221012165"/>
      <w:r/>
      <w:bookmarkStart w:id="55" w:name="_Toc225934546"/>
      <w:r>
        <w:t xml:space="preserve">Минимальный состав программных средств</w:t>
      </w:r>
      <w:bookmarkEnd w:id="51"/>
      <w:r/>
      <w:bookmarkEnd w:id="52"/>
      <w:r/>
      <w:bookmarkEnd w:id="53"/>
      <w:r/>
      <w:bookmarkEnd w:id="54"/>
      <w:r/>
      <w:bookmarkEnd w:id="55"/>
      <w:r>
        <w:t xml:space="preserve">:</w:t>
      </w:r>
      <w:r/>
    </w:p>
    <w:p>
      <w:pPr>
        <w:pStyle w:val="949"/>
      </w:pPr>
      <w:r>
        <w:t xml:space="preserve">Операционная система Microsoft</w:t>
      </w:r>
      <w:r>
        <w:t xml:space="preserve"> </w:t>
      </w:r>
      <w:r>
        <w:t xml:space="preserve">Windows</w:t>
      </w:r>
      <w:r>
        <w:t xml:space="preserve"> </w:t>
      </w:r>
      <w:r>
        <w:t xml:space="preserve">2000/XP;</w:t>
      </w:r>
      <w:r/>
    </w:p>
    <w:p>
      <w:pPr>
        <w:pStyle w:val="949"/>
      </w:pPr>
      <w:r>
        <w:t xml:space="preserve">Java 2 Runtime </w:t>
      </w:r>
      <w:r>
        <w:rPr>
          <w:lang w:val="en-US"/>
        </w:rPr>
        <w:t xml:space="preserve">Environment</w:t>
      </w:r>
      <w:r>
        <w:t xml:space="preserve">;</w:t>
      </w:r>
      <w:r/>
    </w:p>
    <w:p>
      <w:pPr>
        <w:pStyle w:val="949"/>
      </w:pPr>
      <w:r>
        <w:t xml:space="preserve">Клиентское приложение.</w:t>
      </w:r>
      <w:r/>
    </w:p>
    <w:p>
      <w:pPr>
        <w:pStyle w:val="934"/>
      </w:pPr>
      <w:r/>
      <w:bookmarkStart w:id="56" w:name="_Toc401059261"/>
      <w:r/>
      <w:bookmarkStart w:id="57" w:name="_Toc146034901"/>
      <w:r/>
      <w:bookmarkEnd w:id="36"/>
      <w:r/>
      <w:bookmarkEnd w:id="37"/>
      <w:r/>
      <w:bookmarkEnd w:id="38"/>
      <w:r/>
      <w:bookmarkEnd w:id="39"/>
      <w:r/>
      <w:bookmarkEnd w:id="40"/>
      <w:r>
        <w:t xml:space="preserve">Подготовка к работе</w:t>
      </w:r>
      <w:bookmarkEnd w:id="56"/>
      <w:r/>
      <w:bookmarkEnd w:id="57"/>
      <w:r/>
      <w:r/>
    </w:p>
    <w:p>
      <w:pPr>
        <w:pStyle w:val="958"/>
      </w:pPr>
      <w:r>
        <w:t xml:space="preserve">Подготовка к работе в системе включает в себя следующие действия:</w:t>
      </w:r>
      <w:r/>
    </w:p>
    <w:p>
      <w:pPr>
        <w:pStyle w:val="949"/>
      </w:pPr>
      <w:r>
        <w:t xml:space="preserve">проверку состава и содержания дистрибутивного носителя данных; </w:t>
      </w:r>
      <w:r/>
    </w:p>
    <w:p>
      <w:pPr>
        <w:pStyle w:val="949"/>
      </w:pPr>
      <w:r>
        <w:t xml:space="preserve">загрузку данных и программ;</w:t>
      </w:r>
      <w:r/>
    </w:p>
    <w:p>
      <w:pPr>
        <w:pStyle w:val="949"/>
      </w:pPr>
      <w:r>
        <w:t xml:space="preserve">проверку работоспособности системы;</w:t>
      </w:r>
      <w:r/>
    </w:p>
    <w:p>
      <w:pPr>
        <w:pStyle w:val="949"/>
      </w:pPr>
      <w:r>
        <w:t xml:space="preserve">настройку программы для условий конкретного применения.</w:t>
      </w:r>
      <w:r/>
    </w:p>
    <w:p>
      <w:pPr>
        <w:pStyle w:val="958"/>
      </w:pPr>
      <w:r>
        <w:t xml:space="preserve">Порядок и описание вышеуказанных действий приведены в </w:t>
      </w:r>
      <w:r>
        <w:t xml:space="preserve">руководств</w:t>
      </w:r>
      <w:r>
        <w:t xml:space="preserve">е</w:t>
      </w:r>
      <w:r>
        <w:t xml:space="preserve"> по администрированию системы</w:t>
      </w:r>
      <w:r>
        <w:t xml:space="preserve"> «Руководство по установке и настройке системы (СУФД)».</w:t>
      </w:r>
      <w:r/>
    </w:p>
    <w:p>
      <w:pPr>
        <w:pStyle w:val="935"/>
      </w:pPr>
      <w:r/>
      <w:bookmarkStart w:id="58" w:name="_Toc146034902"/>
      <w:r/>
      <w:bookmarkStart w:id="59" w:name="_Toc107037954"/>
      <w:r/>
      <w:bookmarkStart w:id="60" w:name="_Toc182196485"/>
      <w:r>
        <w:t xml:space="preserve">Порядок проверки работоспособности</w:t>
      </w:r>
      <w:bookmarkEnd w:id="58"/>
      <w:r/>
      <w:r/>
    </w:p>
    <w:p>
      <w:pPr>
        <w:pStyle w:val="958"/>
      </w:pPr>
      <w:r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>
        <w:t xml:space="preserve">ППО АСФК</w:t>
      </w:r>
      <w:r>
        <w:t xml:space="preserve">. Данный процесс описан в </w:t>
      </w:r>
      <w:r>
        <w:t xml:space="preserve">обучающих материалах</w:t>
      </w:r>
      <w:r>
        <w:t xml:space="preserve"> «Основные принципы работы с ППО СУФД». В случае возникновения ошибок в процессе запуска системы требуется обратиться к администратору.</w:t>
      </w:r>
      <w:r/>
    </w:p>
    <w:p>
      <w:pPr>
        <w:pStyle w:val="935"/>
      </w:pPr>
      <w:r/>
      <w:bookmarkStart w:id="61" w:name="_Toc225916469"/>
      <w:r/>
      <w:bookmarkStart w:id="62" w:name="_Toc232827280"/>
      <w:r/>
      <w:bookmarkStart w:id="63" w:name="_Toc236822631"/>
      <w:r/>
      <w:bookmarkStart w:id="64" w:name="_Toc401059263"/>
      <w:r/>
      <w:bookmarkStart w:id="65" w:name="_Toc146034903"/>
      <w:r/>
      <w:bookmarkStart w:id="66" w:name="_Toc106783468"/>
      <w:r/>
      <w:bookmarkStart w:id="67" w:name="_Toc106889283"/>
      <w:r/>
      <w:bookmarkStart w:id="68" w:name="_Toc107037955"/>
      <w:r/>
      <w:bookmarkStart w:id="69" w:name="_Toc182196486"/>
      <w:r/>
      <w:bookmarkStart w:id="70" w:name="_Toc225916470"/>
      <w:r/>
      <w:bookmarkStart w:id="71" w:name="_Toc232827281"/>
      <w:r/>
      <w:bookmarkStart w:id="72" w:name="_Toc236822632"/>
      <w:r/>
      <w:bookmarkEnd w:id="59"/>
      <w:r/>
      <w:bookmarkEnd w:id="60"/>
      <w:r>
        <w:t xml:space="preserve">Справочники системы</w:t>
      </w:r>
      <w:bookmarkEnd w:id="61"/>
      <w:r/>
      <w:bookmarkEnd w:id="62"/>
      <w:r/>
      <w:bookmarkEnd w:id="63"/>
      <w:r/>
      <w:bookmarkEnd w:id="64"/>
      <w:r/>
      <w:bookmarkEnd w:id="65"/>
      <w:r/>
      <w:r/>
    </w:p>
    <w:p>
      <w:pPr>
        <w:pStyle w:val="958"/>
      </w:pPr>
      <w:r>
        <w:t xml:space="preserve">Описание справочников, используемых при работе с </w:t>
      </w:r>
      <w:r>
        <w:t xml:space="preserve">АРМ Разные участники ЭОД</w:t>
      </w:r>
      <w:r>
        <w:t xml:space="preserve">, представлено в </w:t>
      </w:r>
      <w:r>
        <w:t xml:space="preserve">обучающи</w:t>
      </w:r>
      <w:r>
        <w:t xml:space="preserve">х</w:t>
      </w:r>
      <w:r>
        <w:t xml:space="preserve"> материал</w:t>
      </w:r>
      <w:r>
        <w:t xml:space="preserve">ах</w:t>
      </w:r>
      <w:r>
        <w:t xml:space="preserve"> «Руководство по работе со справочниками в ППО СУФД»</w:t>
      </w:r>
      <w:r>
        <w:t xml:space="preserve">.</w:t>
      </w:r>
      <w:r/>
    </w:p>
    <w:p>
      <w:pPr>
        <w:pStyle w:val="935"/>
      </w:pPr>
      <w:r/>
      <w:bookmarkStart w:id="73" w:name="_Toc401059264"/>
      <w:r/>
      <w:bookmarkStart w:id="74" w:name="_Toc146034904"/>
      <w:r>
        <w:t xml:space="preserve">Функции системы</w:t>
      </w:r>
      <w:bookmarkEnd w:id="66"/>
      <w:r/>
      <w:bookmarkEnd w:id="67"/>
      <w:r/>
      <w:bookmarkEnd w:id="68"/>
      <w:r/>
      <w:bookmarkEnd w:id="69"/>
      <w:r/>
      <w:bookmarkEnd w:id="70"/>
      <w:r/>
      <w:bookmarkEnd w:id="71"/>
      <w:r/>
      <w:bookmarkEnd w:id="72"/>
      <w:r/>
      <w:bookmarkEnd w:id="73"/>
      <w:r/>
      <w:bookmarkEnd w:id="74"/>
      <w:r/>
      <w:r/>
    </w:p>
    <w:p>
      <w:pPr>
        <w:pStyle w:val="958"/>
      </w:pPr>
      <w:r>
        <w:t xml:space="preserve">В рамках юридически правомочного документооборота </w:t>
      </w:r>
      <w:r>
        <w:t xml:space="preserve">АРМ </w:t>
      </w:r>
      <w:r>
        <w:t xml:space="preserve">Разные участники ЭОД </w:t>
      </w:r>
      <w:r>
        <w:t xml:space="preserve">позволяет выполнять набор стандартных операций:</w:t>
      </w:r>
      <w:r/>
    </w:p>
    <w:p>
      <w:pPr>
        <w:pStyle w:val="949"/>
      </w:pPr>
      <w:r>
        <w:t xml:space="preserve">создавать документы путем импорта из внешних систем, ручного ввода, копированием из существующих документов;</w:t>
      </w:r>
      <w:r/>
    </w:p>
    <w:p>
      <w:pPr>
        <w:pStyle w:val="949"/>
      </w:pPr>
      <w:r>
        <w:t xml:space="preserve">печатать документы на локальных и сетевых принтерах;</w:t>
      </w:r>
      <w:r/>
    </w:p>
    <w:p>
      <w:pPr>
        <w:pStyle w:val="949"/>
      </w:pPr>
      <w:r>
        <w:t xml:space="preserve">вести архив документов;</w:t>
      </w:r>
      <w:r/>
    </w:p>
    <w:p>
      <w:pPr>
        <w:pStyle w:val="949"/>
      </w:pPr>
      <w:r>
        <w:t xml:space="preserve">зашифровывать и расшифровать документы;</w:t>
      </w:r>
      <w:r/>
    </w:p>
    <w:p>
      <w:pPr>
        <w:pStyle w:val="949"/>
      </w:pPr>
      <w:r>
        <w:t xml:space="preserve">формировать и проверять ЭП «под» документом;</w:t>
      </w:r>
      <w:r/>
    </w:p>
    <w:p>
      <w:pPr>
        <w:pStyle w:val="949"/>
      </w:pPr>
      <w:r>
        <w:t xml:space="preserve">осуществлять различные контроли: на корректность заполнения документов, соответствие справочникам, наличие подписей, изменение состояний.</w:t>
      </w:r>
      <w:r/>
    </w:p>
    <w:p>
      <w:pPr>
        <w:pStyle w:val="949"/>
      </w:pPr>
      <w:r>
        <w:t xml:space="preserve">экспортировать документы во внешние системы;</w:t>
      </w:r>
      <w:r/>
    </w:p>
    <w:p>
      <w:pPr>
        <w:pStyle w:val="949"/>
      </w:pPr>
      <w:r>
        <w:t xml:space="preserve">осуществлять доставку документов между адресатами (отправка-получение);</w:t>
      </w:r>
      <w:r/>
    </w:p>
    <w:p>
      <w:pPr>
        <w:pStyle w:val="949"/>
      </w:pPr>
      <w:r>
        <w:t xml:space="preserve">вести историю изменений документов;</w:t>
      </w:r>
      <w:r/>
    </w:p>
    <w:p>
      <w:pPr>
        <w:pStyle w:val="949"/>
      </w:pPr>
      <w:r>
        <w:t xml:space="preserve">поддерживать жизненный цикл документов в виде последовательных изменений статусов в ходе их обработки.</w:t>
      </w:r>
      <w:r/>
    </w:p>
    <w:p>
      <w:pPr>
        <w:pStyle w:val="958"/>
      </w:pPr>
      <w:r>
        <w:t xml:space="preserve">Кроме того, предусмотрена возможность расширять функции модуля путем включения в меню дополнительных документов и отчетов подготовленными специалистами ИТ-подразделений организаций-пользователей.</w:t>
      </w:r>
      <w:r/>
    </w:p>
    <w:p>
      <w:pPr>
        <w:pStyle w:val="958"/>
      </w:pPr>
      <w:r>
        <w:t xml:space="preserve">Стандартные операции над документами описаны в </w:t>
      </w:r>
      <w:r>
        <w:t xml:space="preserve">обучающих материалах</w:t>
      </w:r>
      <w:r>
        <w:t xml:space="preserve"> «</w:t>
      </w:r>
      <w:r>
        <w:t xml:space="preserve">Основные принципы работы с ППО СУФД</w:t>
      </w:r>
      <w:r>
        <w:t xml:space="preserve">». Доступные операции, экранные формы и особенности их заполнения для документов различных типов описаны в разделе </w:t>
      </w:r>
      <w:r>
        <w:fldChar w:fldCharType="begin"/>
      </w:r>
      <w:r>
        <w:instrText xml:space="preserve"> REF _Ref422834888 \r \h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/>
    </w:p>
    <w:p>
      <w:pPr>
        <w:pStyle w:val="935"/>
      </w:pPr>
      <w:r/>
      <w:bookmarkStart w:id="75" w:name="_Toc107037956"/>
      <w:r/>
      <w:bookmarkStart w:id="76" w:name="_Toc182196487"/>
      <w:r/>
      <w:bookmarkStart w:id="77" w:name="_Toc248041597"/>
      <w:r/>
      <w:bookmarkStart w:id="78" w:name="_Toc401059265"/>
      <w:r/>
      <w:bookmarkStart w:id="79" w:name="_Toc146034905"/>
      <w:r/>
      <w:bookmarkStart w:id="80" w:name="_Toc225916472"/>
      <w:r/>
      <w:bookmarkStart w:id="81" w:name="_Ref230682228"/>
      <w:r/>
      <w:bookmarkStart w:id="82" w:name="_Ref230682260"/>
      <w:r/>
      <w:bookmarkStart w:id="83" w:name="_Toc232827282"/>
      <w:r/>
      <w:bookmarkStart w:id="84" w:name="_Toc236822633"/>
      <w:r/>
      <w:bookmarkStart w:id="85" w:name="_Toc220130162"/>
      <w:r/>
      <w:bookmarkStart w:id="86" w:name="_Toc170885729"/>
      <w:r/>
      <w:bookmarkStart w:id="87" w:name="_Toc221011478"/>
      <w:r/>
      <w:bookmarkStart w:id="88" w:name="_Toc221012179"/>
      <w:r/>
      <w:bookmarkStart w:id="89" w:name="_Toc225934570"/>
      <w:r>
        <w:t xml:space="preserve">Дополнительные настройки системы</w:t>
      </w:r>
      <w:bookmarkEnd w:id="75"/>
      <w:r/>
      <w:bookmarkEnd w:id="76"/>
      <w:r/>
      <w:bookmarkEnd w:id="77"/>
      <w:r/>
      <w:bookmarkEnd w:id="78"/>
      <w:r/>
      <w:bookmarkEnd w:id="79"/>
      <w:r/>
      <w:r/>
    </w:p>
    <w:p>
      <w:pPr>
        <w:pStyle w:val="958"/>
      </w:pPr>
      <w:r>
        <w:t xml:space="preserve">Раздел в рамках данного документа не предусмотрен.</w:t>
      </w:r>
      <w:r/>
    </w:p>
    <w:p>
      <w:pPr>
        <w:pStyle w:val="934"/>
      </w:pPr>
      <w:r/>
      <w:bookmarkStart w:id="90" w:name="_Toc401059266"/>
      <w:r/>
      <w:bookmarkStart w:id="91" w:name="_Toc146034906"/>
      <w:r/>
      <w:bookmarkStart w:id="92" w:name="_Toc170885710"/>
      <w:r/>
      <w:bookmarkStart w:id="93" w:name="_Toc221011466"/>
      <w:r/>
      <w:bookmarkStart w:id="94" w:name="_Toc221012167"/>
      <w:r/>
      <w:bookmarkStart w:id="95" w:name="_Toc225934548"/>
      <w:r/>
      <w:bookmarkStart w:id="96" w:name="_Toc231630508"/>
      <w:r/>
      <w:bookmarkStart w:id="97" w:name="_Toc231630632"/>
      <w:r/>
      <w:bookmarkStart w:id="98" w:name="_Toc302380410"/>
      <w:r/>
      <w:bookmarkStart w:id="99" w:name="_Toc309837794"/>
      <w:r/>
      <w:bookmarkStart w:id="100" w:name="_Toc383088823"/>
      <w:r/>
      <w:bookmarkStart w:id="101" w:name="_Ref253672687"/>
      <w:r/>
      <w:bookmarkEnd w:id="80"/>
      <w:r/>
      <w:bookmarkEnd w:id="81"/>
      <w:r/>
      <w:bookmarkEnd w:id="82"/>
      <w:r/>
      <w:bookmarkEnd w:id="83"/>
      <w:r/>
      <w:bookmarkEnd w:id="84"/>
      <w:r>
        <w:t xml:space="preserve">Основные сведения об интерфейсе программы,</w:t>
      </w:r>
      <w:r>
        <w:t xml:space="preserve"> </w:t>
      </w:r>
      <w:r>
        <w:t xml:space="preserve">типовых операциях и приемах работы</w:t>
      </w:r>
      <w:bookmarkEnd w:id="90"/>
      <w:r/>
      <w:bookmarkEnd w:id="91"/>
      <w:r/>
      <w:r/>
    </w:p>
    <w:p>
      <w:pPr>
        <w:pStyle w:val="960"/>
      </w:pPr>
      <w:r>
        <w:rPr>
          <w:rStyle w:val="965"/>
        </w:rPr>
        <w:t xml:space="preserve">Внимание!</w:t>
      </w:r>
      <w:r>
        <w:tab/>
        <w:t xml:space="preserve">Сведения, приводимые в данном разделе, носят справочный характер. По</w:t>
      </w:r>
      <w:r>
        <w:t xml:space="preserve">д</w:t>
      </w:r>
      <w:r>
        <w:t xml:space="preserve">робное описание интерфейса программы, приемов работы, а также порядок выполнения операций даны в </w:t>
      </w:r>
      <w:r>
        <w:t xml:space="preserve">обучающих материалах</w:t>
      </w:r>
      <w:r>
        <w:t xml:space="preserve"> </w:t>
      </w:r>
      <w:r>
        <w:t xml:space="preserve">«</w:t>
      </w:r>
      <w:r>
        <w:t xml:space="preserve">Основные принципы работы с ППО СУФД</w:t>
      </w:r>
      <w:r>
        <w:t xml:space="preserve">».</w:t>
      </w:r>
      <w:r/>
    </w:p>
    <w:p>
      <w:pPr>
        <w:pStyle w:val="935"/>
      </w:pPr>
      <w:r/>
      <w:bookmarkStart w:id="102" w:name="_Toc100631594"/>
      <w:r/>
      <w:bookmarkStart w:id="103" w:name="_Toc112819449"/>
      <w:r/>
      <w:bookmarkStart w:id="104" w:name="_Toc167600094"/>
      <w:r/>
      <w:bookmarkStart w:id="105" w:name="_Toc170885712"/>
      <w:r/>
      <w:bookmarkStart w:id="106" w:name="_Toc221011468"/>
      <w:r/>
      <w:bookmarkStart w:id="107" w:name="_Toc221012169"/>
      <w:r/>
      <w:bookmarkStart w:id="108" w:name="_Toc225934550"/>
      <w:r/>
      <w:bookmarkStart w:id="109" w:name="_Toc231630509"/>
      <w:r/>
      <w:bookmarkStart w:id="110" w:name="_Toc231630633"/>
      <w:r/>
      <w:bookmarkStart w:id="111" w:name="_Ref293486795"/>
      <w:r/>
      <w:bookmarkStart w:id="112" w:name="_Ref301872117"/>
      <w:r/>
      <w:bookmarkStart w:id="113" w:name="_Toc302380411"/>
      <w:r/>
      <w:bookmarkStart w:id="114" w:name="_Toc309837795"/>
      <w:r/>
      <w:bookmarkStart w:id="115" w:name="_Ref375231806"/>
      <w:r/>
      <w:bookmarkStart w:id="116" w:name="_Toc383088824"/>
      <w:r/>
      <w:bookmarkStart w:id="117" w:name="_Toc401059267"/>
      <w:r/>
      <w:bookmarkStart w:id="118" w:name="_Toc146034907"/>
      <w:r/>
      <w:bookmarkStart w:id="119" w:name="_Toc167600099"/>
      <w:r/>
      <w:bookmarkStart w:id="120" w:name="_Toc167600098"/>
      <w:r/>
      <w:bookmarkStart w:id="121" w:name="_Toc167600097"/>
      <w:r/>
      <w:bookmarkStart w:id="122" w:name="_Toc167600096"/>
      <w:r/>
      <w:bookmarkStart w:id="123" w:name="_Toc167600095"/>
      <w:r/>
      <w:bookmarkEnd w:id="92"/>
      <w:r/>
      <w:bookmarkEnd w:id="93"/>
      <w:r/>
      <w:bookmarkEnd w:id="94"/>
      <w:r/>
      <w:bookmarkEnd w:id="95"/>
      <w:r/>
      <w:bookmarkEnd w:id="96"/>
      <w:r/>
      <w:bookmarkEnd w:id="97"/>
      <w:r/>
      <w:bookmarkEnd w:id="98"/>
      <w:r/>
      <w:bookmarkEnd w:id="99"/>
      <w:r/>
      <w:bookmarkEnd w:id="100"/>
      <w:r>
        <w:t xml:space="preserve">Основные элементы интерфейса</w:t>
      </w:r>
      <w:bookmarkEnd w:id="102"/>
      <w:r/>
      <w:bookmarkEnd w:id="103"/>
      <w:r/>
      <w:bookmarkEnd w:id="104"/>
      <w:r/>
      <w:bookmarkEnd w:id="105"/>
      <w:r/>
      <w:bookmarkEnd w:id="106"/>
      <w:r/>
      <w:bookmarkEnd w:id="107"/>
      <w:r/>
      <w:bookmarkEnd w:id="108"/>
      <w:r/>
      <w:bookmarkEnd w:id="109"/>
      <w:r/>
      <w:bookmarkEnd w:id="110"/>
      <w:r/>
      <w:bookmarkEnd w:id="111"/>
      <w:r/>
      <w:bookmarkEnd w:id="112"/>
      <w:r/>
      <w:bookmarkEnd w:id="113"/>
      <w:r/>
      <w:bookmarkEnd w:id="114"/>
      <w:r/>
      <w:bookmarkEnd w:id="115"/>
      <w:r/>
      <w:bookmarkEnd w:id="116"/>
      <w:r/>
      <w:bookmarkEnd w:id="117"/>
      <w:r/>
      <w:bookmarkEnd w:id="118"/>
      <w:r/>
      <w:r/>
    </w:p>
    <w:p>
      <w:pPr>
        <w:pStyle w:val="958"/>
      </w:pPr>
      <w:r>
        <w:t xml:space="preserve">На рисунке</w:t>
      </w:r>
      <w:r>
        <w:t xml:space="preserve"> </w:t>
      </w:r>
      <w:r>
        <w:fldChar w:fldCharType="begin"/>
      </w:r>
      <w:r>
        <w:instrText xml:space="preserve"> REF _Ref227155316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показано главное окно программы.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5048250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124575" cy="5048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82.25pt;height:397.5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4" w:name="_Ref227155316"/>
      <w:r/>
      <w:bookmarkStart w:id="125" w:name="_Toc146034961"/>
      <w:r>
        <w:t xml:space="preserve">1</w:t>
      </w:r>
      <w:bookmarkEnd w:id="124"/>
      <w:r>
        <w:fldChar w:fldCharType="end"/>
      </w:r>
      <w:r>
        <w:t xml:space="preserve">. Основное окно программы</w:t>
      </w:r>
      <w:bookmarkEnd w:id="125"/>
      <w:r/>
      <w:r/>
    </w:p>
    <w:p>
      <w:pPr>
        <w:pStyle w:val="958"/>
      </w:pPr>
      <w:r>
        <w:t xml:space="preserve">Числами</w:t>
      </w:r>
      <w:r>
        <w:t xml:space="preserve"> на рисунке обозначены основные элементы инте</w:t>
      </w:r>
      <w:r>
        <w:t xml:space="preserve">р</w:t>
      </w:r>
      <w:r>
        <w:t xml:space="preserve">фейса программы:</w:t>
      </w:r>
      <w:r/>
    </w:p>
    <w:p>
      <w:pPr>
        <w:pStyle w:val="949"/>
      </w:pPr>
      <w:r>
        <w:t xml:space="preserve">1 – </w:t>
      </w:r>
      <w:r>
        <w:t xml:space="preserve">заголовок рабочего окна программы</w:t>
      </w:r>
      <w:r>
        <w:t xml:space="preserve">;</w:t>
      </w:r>
      <w:r/>
    </w:p>
    <w:p>
      <w:pPr>
        <w:pStyle w:val="949"/>
      </w:pPr>
      <w:r>
        <w:t xml:space="preserve">2 – </w:t>
      </w:r>
      <w:r>
        <w:t xml:space="preserve">строка навигации</w:t>
      </w:r>
      <w:r>
        <w:t xml:space="preserve">;</w:t>
      </w:r>
      <w:r/>
    </w:p>
    <w:p>
      <w:pPr>
        <w:pStyle w:val="949"/>
      </w:pPr>
      <w:r>
        <w:t xml:space="preserve">3 – </w:t>
      </w:r>
      <w:r>
        <w:t xml:space="preserve">поле выбора организации</w:t>
      </w:r>
      <w:r>
        <w:t xml:space="preserve">;</w:t>
      </w:r>
      <w:r/>
    </w:p>
    <w:p>
      <w:pPr>
        <w:pStyle w:val="949"/>
      </w:pPr>
      <w:r>
        <w:t xml:space="preserve">4 – </w:t>
      </w:r>
      <w:r>
        <w:t xml:space="preserve">переключатели содержимого панели навигации</w:t>
      </w:r>
      <w:r>
        <w:t xml:space="preserve">;</w:t>
      </w:r>
      <w:r/>
    </w:p>
    <w:p>
      <w:pPr>
        <w:pStyle w:val="949"/>
      </w:pPr>
      <w:r>
        <w:t xml:space="preserve">5 –</w:t>
      </w:r>
      <w:r>
        <w:t xml:space="preserve"> поле поиска</w:t>
      </w:r>
      <w:r>
        <w:t xml:space="preserve">;</w:t>
      </w:r>
      <w:r/>
    </w:p>
    <w:p>
      <w:pPr>
        <w:pStyle w:val="949"/>
      </w:pPr>
      <w:r>
        <w:t xml:space="preserve">6 –</w:t>
      </w:r>
      <w:r>
        <w:t xml:space="preserve"> панель навигации</w:t>
      </w:r>
      <w:r>
        <w:t xml:space="preserve">;</w:t>
      </w:r>
      <w:r/>
    </w:p>
    <w:p>
      <w:pPr>
        <w:pStyle w:val="949"/>
      </w:pPr>
      <w:r>
        <w:t xml:space="preserve">7 – </w:t>
      </w:r>
      <w:r>
        <w:t xml:space="preserve">область пользовательских представлений</w:t>
      </w:r>
      <w:r>
        <w:t xml:space="preserve">;</w:t>
      </w:r>
      <w:r/>
    </w:p>
    <w:p>
      <w:pPr>
        <w:pStyle w:val="949"/>
      </w:pPr>
      <w:r>
        <w:t xml:space="preserve">8 – </w:t>
      </w:r>
      <w:r>
        <w:t xml:space="preserve">кнопка настроек параметров программы</w:t>
      </w:r>
      <w:r>
        <w:t xml:space="preserve">;</w:t>
      </w:r>
      <w:r/>
    </w:p>
    <w:p>
      <w:pPr>
        <w:pStyle w:val="949"/>
      </w:pPr>
      <w:r>
        <w:t xml:space="preserve">9 –</w:t>
      </w:r>
      <w:r>
        <w:t xml:space="preserve"> </w:t>
      </w:r>
      <w:r>
        <w:t xml:space="preserve">кнопка </w:t>
      </w:r>
      <w:r>
        <w:t xml:space="preserve">настройки </w:t>
      </w:r>
      <w:r>
        <w:t xml:space="preserve">автоматического импорта/экспорта</w:t>
      </w:r>
      <w:r>
        <w:t xml:space="preserve">;</w:t>
      </w:r>
      <w:r/>
    </w:p>
    <w:p>
      <w:pPr>
        <w:pStyle w:val="949"/>
      </w:pPr>
      <w:r>
        <w:t xml:space="preserve">10 –</w:t>
      </w:r>
      <w:r>
        <w:t xml:space="preserve"> кнопка вызова диспетчера задач</w:t>
      </w:r>
      <w:r>
        <w:t xml:space="preserve">;</w:t>
      </w:r>
      <w:r/>
    </w:p>
    <w:p>
      <w:pPr>
        <w:pStyle w:val="949"/>
      </w:pPr>
      <w:r>
        <w:t xml:space="preserve">11 – </w:t>
      </w:r>
      <w:r>
        <w:t xml:space="preserve">рабочая область.</w:t>
      </w:r>
      <w:r/>
    </w:p>
    <w:p>
      <w:pPr>
        <w:pStyle w:val="936"/>
      </w:pPr>
      <w:r/>
      <w:bookmarkStart w:id="126" w:name="_Toc383088825"/>
      <w:r/>
      <w:bookmarkStart w:id="127" w:name="_Toc401059268"/>
      <w:r/>
      <w:bookmarkStart w:id="128" w:name="_Toc146034908"/>
      <w:r>
        <w:t xml:space="preserve">Заголовок </w:t>
      </w:r>
      <w:r>
        <w:t xml:space="preserve">рабочего окна </w:t>
      </w:r>
      <w:bookmarkEnd w:id="126"/>
      <w:r>
        <w:t xml:space="preserve">программы</w:t>
      </w:r>
      <w:bookmarkEnd w:id="127"/>
      <w:r/>
      <w:bookmarkEnd w:id="128"/>
      <w:r/>
      <w:r/>
    </w:p>
    <w:p>
      <w:pPr>
        <w:pStyle w:val="958"/>
      </w:pPr>
      <w:r>
        <w:t xml:space="preserve">В заголовке окна (</w:t>
      </w:r>
      <w:r>
        <w:t xml:space="preserve">см.</w:t>
      </w:r>
      <w:r>
        <w:t xml:space="preserve"> </w:t>
      </w:r>
      <w:r>
        <w:t xml:space="preserve">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[1]) указываются следующие сведения:</w:t>
      </w:r>
      <w:r/>
    </w:p>
    <w:p>
      <w:pPr>
        <w:pStyle w:val="949"/>
      </w:pPr>
      <w:r>
        <w:t xml:space="preserve">название ППО;</w:t>
      </w:r>
      <w:r/>
    </w:p>
    <w:p>
      <w:pPr>
        <w:pStyle w:val="949"/>
      </w:pPr>
      <w:r>
        <w:t xml:space="preserve">текущий пользователь;</w:t>
      </w:r>
      <w:r/>
    </w:p>
    <w:p>
      <w:pPr>
        <w:pStyle w:val="949"/>
      </w:pPr>
      <w:r>
        <w:t xml:space="preserve">текущая версия ППО;</w:t>
      </w:r>
      <w:r/>
    </w:p>
    <w:p>
      <w:pPr>
        <w:pStyle w:val="949"/>
      </w:pPr>
      <w:r>
        <w:t xml:space="preserve">текущая дата.</w:t>
      </w:r>
      <w:r/>
    </w:p>
    <w:p>
      <w:pPr>
        <w:pStyle w:val="936"/>
      </w:pPr>
      <w:r/>
      <w:bookmarkStart w:id="129" w:name="_Toc383088826"/>
      <w:r/>
      <w:bookmarkStart w:id="130" w:name="_Toc401059269"/>
      <w:r/>
      <w:bookmarkStart w:id="131" w:name="_Toc146034909"/>
      <w:r>
        <w:t xml:space="preserve">Строка навигации</w:t>
      </w:r>
      <w:bookmarkEnd w:id="129"/>
      <w:r/>
      <w:bookmarkEnd w:id="130"/>
      <w:r/>
      <w:bookmarkEnd w:id="131"/>
      <w:r/>
      <w:r/>
    </w:p>
    <w:p>
      <w:pPr>
        <w:pStyle w:val="958"/>
      </w:pPr>
      <w:r>
        <w:t xml:space="preserve">Строка навигации (рис.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[2]) позволяет осуществлять быстрый переход между разд</w:t>
      </w:r>
      <w:r>
        <w:t xml:space="preserve">е</w:t>
      </w:r>
      <w:r>
        <w:t xml:space="preserve">лами и подразделами для работы с д</w:t>
      </w:r>
      <w:r>
        <w:t xml:space="preserve">о</w:t>
      </w:r>
      <w:r>
        <w:t xml:space="preserve">кументами или справочниками.</w:t>
      </w:r>
      <w:r/>
    </w:p>
    <w:p>
      <w:pPr>
        <w:pStyle w:val="936"/>
      </w:pPr>
      <w:r/>
      <w:bookmarkStart w:id="132" w:name="_Ref376259721"/>
      <w:r/>
      <w:bookmarkStart w:id="133" w:name="_Toc383088827"/>
      <w:r/>
      <w:bookmarkStart w:id="134" w:name="_Toc401059270"/>
      <w:r/>
      <w:bookmarkStart w:id="135" w:name="_Toc146034910"/>
      <w:r>
        <w:t xml:space="preserve">Поле выбора организации</w:t>
      </w:r>
      <w:bookmarkEnd w:id="132"/>
      <w:r/>
      <w:bookmarkEnd w:id="133"/>
      <w:r/>
      <w:bookmarkEnd w:id="134"/>
      <w:r/>
      <w:bookmarkEnd w:id="135"/>
      <w:r/>
      <w:r/>
    </w:p>
    <w:p>
      <w:pPr>
        <w:pStyle w:val="958"/>
      </w:pPr>
      <w:r>
        <w:t xml:space="preserve">Панель выбора организации (</w:t>
      </w:r>
      <w:r>
        <w:t xml:space="preserve">см.</w:t>
      </w:r>
      <w:r>
        <w:t xml:space="preserve"> </w:t>
      </w:r>
      <w:r>
        <w:t xml:space="preserve">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[3]) служит для указания наименования орган</w:t>
      </w:r>
      <w:r>
        <w:t xml:space="preserve">и</w:t>
      </w:r>
      <w:r>
        <w:t xml:space="preserve">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</w:t>
      </w:r>
      <w:r>
        <w:t xml:space="preserve">н</w:t>
      </w:r>
      <w:r>
        <w:t xml:space="preserve">тами.</w:t>
      </w:r>
      <w:r/>
    </w:p>
    <w:p>
      <w:pPr>
        <w:pStyle w:val="936"/>
      </w:pPr>
      <w:r/>
      <w:bookmarkStart w:id="136" w:name="_Toc383088828"/>
      <w:r/>
      <w:bookmarkStart w:id="137" w:name="_Toc401059271"/>
      <w:r/>
      <w:bookmarkStart w:id="138" w:name="_Toc146034911"/>
      <w:r>
        <w:t xml:space="preserve">Переключатели содержимого панели навигации</w:t>
      </w:r>
      <w:bookmarkEnd w:id="136"/>
      <w:r/>
      <w:bookmarkEnd w:id="137"/>
      <w:r/>
      <w:bookmarkEnd w:id="138"/>
      <w:r/>
      <w:r/>
    </w:p>
    <w:p>
      <w:pPr>
        <w:pStyle w:val="958"/>
      </w:pPr>
      <w:r>
        <w:t xml:space="preserve">Переключатели содержимого панели навигации </w:t>
      </w:r>
      <w:r>
        <w:t xml:space="preserve">(</w:t>
      </w:r>
      <w:r>
        <w:t xml:space="preserve">см.</w:t>
      </w:r>
      <w:r>
        <w:t xml:space="preserve"> </w:t>
      </w:r>
      <w:r>
        <w:t xml:space="preserve">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</w:t>
      </w:r>
      <w:r>
        <w:t xml:space="preserve">4</w:t>
      </w:r>
      <w:r>
        <w:t xml:space="preserve">])</w:t>
      </w:r>
      <w:r>
        <w:t xml:space="preserve"> </w:t>
      </w:r>
      <w:r>
        <w:t xml:space="preserve">позволяют оперативно переключаться между следующими режимами отображения</w:t>
      </w:r>
      <w:r>
        <w:t xml:space="preserve">:</w:t>
      </w:r>
      <w:r/>
    </w:p>
    <w:p>
      <w:pPr>
        <w:pStyle w:val="949"/>
      </w:pPr>
      <w:r>
        <w:t xml:space="preserve">«Все документы»</w:t>
      </w:r>
      <w:r>
        <w:t xml:space="preserve">;</w:t>
      </w:r>
      <w:r/>
    </w:p>
    <w:p>
      <w:pPr>
        <w:pStyle w:val="949"/>
      </w:pPr>
      <w:r>
        <w:t xml:space="preserve">«Мои документы»</w:t>
      </w:r>
      <w:r>
        <w:t xml:space="preserve">;</w:t>
      </w:r>
      <w:r/>
    </w:p>
    <w:p>
      <w:pPr>
        <w:pStyle w:val="949"/>
      </w:pPr>
      <w:r>
        <w:t xml:space="preserve">«Настройки»</w:t>
      </w:r>
      <w:r>
        <w:t xml:space="preserve">.</w:t>
      </w:r>
      <w:r/>
    </w:p>
    <w:p>
      <w:pPr>
        <w:pStyle w:val="958"/>
      </w:pPr>
      <w:r>
        <w:t xml:space="preserve">В зависимости от выбранного режима содержимое панели навигации будет меняться.</w:t>
      </w:r>
      <w:r/>
    </w:p>
    <w:p>
      <w:pPr>
        <w:pStyle w:val="936"/>
      </w:pPr>
      <w:r/>
      <w:bookmarkStart w:id="139" w:name="_Toc383088829"/>
      <w:r/>
      <w:bookmarkStart w:id="140" w:name="_Toc401059272"/>
      <w:r/>
      <w:bookmarkStart w:id="141" w:name="_Toc146034912"/>
      <w:r>
        <w:t xml:space="preserve">Поле поиска</w:t>
      </w:r>
      <w:bookmarkEnd w:id="139"/>
      <w:r/>
      <w:bookmarkEnd w:id="140"/>
      <w:r/>
      <w:bookmarkEnd w:id="141"/>
      <w:r/>
      <w:r/>
    </w:p>
    <w:p>
      <w:pPr>
        <w:pStyle w:val="958"/>
      </w:pPr>
      <w:r>
        <w:t xml:space="preserve">Поле поиска (</w:t>
      </w:r>
      <w:r>
        <w:t xml:space="preserve">см.</w:t>
      </w:r>
      <w:r>
        <w:t xml:space="preserve"> </w:t>
      </w:r>
      <w:r>
        <w:t xml:space="preserve">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</w:t>
      </w:r>
      <w:r>
        <w:t xml:space="preserve">5</w:t>
      </w:r>
      <w:r>
        <w:t xml:space="preserve">])</w:t>
      </w:r>
      <w:r>
        <w:t xml:space="preserve"> </w:t>
      </w:r>
      <w:r>
        <w:t xml:space="preserve">панели навигации позволяет осуществлять быстрый поиск названий разделов панели навиг</w:t>
      </w:r>
      <w:r>
        <w:t xml:space="preserve">а</w:t>
      </w:r>
      <w:r>
        <w:t xml:space="preserve">ции</w:t>
      </w:r>
      <w:r>
        <w:t xml:space="preserve">, </w:t>
      </w:r>
      <w:r>
        <w:t xml:space="preserve">назван</w:t>
      </w:r>
      <w:r>
        <w:t xml:space="preserve">ий документов или справочников.</w:t>
      </w:r>
      <w:r/>
    </w:p>
    <w:p>
      <w:pPr>
        <w:pStyle w:val="936"/>
      </w:pPr>
      <w:r/>
      <w:bookmarkStart w:id="142" w:name="_Toc383088830"/>
      <w:r/>
      <w:bookmarkStart w:id="143" w:name="_Toc401059273"/>
      <w:r/>
      <w:bookmarkStart w:id="144" w:name="_Toc146034913"/>
      <w:r>
        <w:t xml:space="preserve">Панель навигации</w:t>
      </w:r>
      <w:bookmarkEnd w:id="142"/>
      <w:r/>
      <w:bookmarkEnd w:id="143"/>
      <w:r/>
      <w:bookmarkEnd w:id="144"/>
      <w:r/>
      <w:r/>
    </w:p>
    <w:p>
      <w:pPr>
        <w:pStyle w:val="958"/>
      </w:pPr>
      <w:r>
        <w:t xml:space="preserve">Панель навигации (рис.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</w:t>
      </w:r>
      <w:r>
        <w:t xml:space="preserve">6</w:t>
      </w:r>
      <w:r>
        <w:t xml:space="preserve">]) располагается в левой части окна и служит для быстрого доступа к документам и справочникам. Перечень документов и справочников имеет древ</w:t>
      </w:r>
      <w:r>
        <w:t xml:space="preserve">о</w:t>
      </w:r>
      <w:r>
        <w:t xml:space="preserve">видную иерархическую структуру. Все документы и справочники разбиты на разделы и по</w:t>
      </w:r>
      <w:r>
        <w:t xml:space="preserve">д</w:t>
      </w:r>
      <w:r>
        <w:t xml:space="preserve">разделы, которые на панели навигации из</w:t>
      </w:r>
      <w:r>
        <w:t xml:space="preserve">о</w:t>
      </w:r>
      <w:r>
        <w:t xml:space="preserve">бражаются следующими значками: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1950" cy="276225"/>
                <wp:effectExtent l="0" t="0" r="0" b="0"/>
                <wp:docPr id="4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rcRect l="0" t="-13999" r="0" b="0"/>
                        <a:stretch/>
                      </pic:blipFill>
                      <pic:spPr bwMode="auto">
                        <a:xfrm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8.50pt;height:21.75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  <w:r>
        <w:t xml:space="preserve"> и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1950" cy="180975"/>
                <wp:effectExtent l="0" t="0" r="0" b="0"/>
                <wp:docPr id="5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/>
                        <a:srcRect l="0" t="-15119" r="0" b="0"/>
                        <a:stretch/>
                      </pic:blipFill>
                      <pic:spPr bwMode="auto">
                        <a:xfrm>
                          <a:off x="0" y="0"/>
                          <a:ext cx="3619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8.50pt;height:14.25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  <w:r>
        <w:t xml:space="preserve">. Для открытия раздела или подраздела необходимо выполнить один щелчок л</w:t>
      </w:r>
      <w:r>
        <w:t xml:space="preserve">е</w:t>
      </w:r>
      <w:r>
        <w:t xml:space="preserve">вой клавишей мыши по соответствующему значку. Открытые разделы и подразделы имеют следующее </w:t>
      </w:r>
      <w:r>
        <w:t xml:space="preserve">обозначение: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180975"/>
                <wp:effectExtent l="0" t="0" r="0" b="0"/>
                <wp:docPr id="6" name="_x0000_i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"/>
                        <a:srcRect l="0" t="-15119" r="0" b="0"/>
                        <a:stretch/>
                      </pic:blipFill>
                      <pic:spPr bwMode="auto">
                        <a:xfrm>
                          <a:off x="0" y="0"/>
                          <a:ext cx="45720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6.00pt;height:14.2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  <w:r>
        <w:t xml:space="preserve"> и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1950" cy="180975"/>
                <wp:effectExtent l="0" t="0" r="0" b="0"/>
                <wp:docPr id="7" name="_x0000_i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rcRect l="0" t="-15119" r="0" b="0"/>
                        <a:stretch/>
                      </pic:blipFill>
                      <pic:spPr bwMode="auto">
                        <a:xfrm>
                          <a:off x="0" y="0"/>
                          <a:ext cx="3619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28.50pt;height:14.25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  <w:r>
        <w:t xml:space="preserve">.</w:t>
      </w:r>
      <w:r>
        <w:t xml:space="preserve"> Повторный щелчок закрывает раздел (подраздел). Док</w:t>
      </w:r>
      <w:r>
        <w:t xml:space="preserve">у</w:t>
      </w:r>
      <w:r>
        <w:t xml:space="preserve">менты на панели навигации изображаются значком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76225"/>
                <wp:effectExtent l="0" t="0" r="0" b="0"/>
                <wp:docPr id="8" name="_x0000_i10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rcRect l="0" t="-13999" r="0" b="0"/>
                        <a:stretch/>
                      </pic:blipFill>
                      <pic:spPr bwMode="auto">
                        <a:xfrm>
                          <a:off x="0" y="0"/>
                          <a:ext cx="28575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22.50pt;height:21.75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  <w:r>
        <w:t xml:space="preserve">. Для изображения справочника используе</w:t>
      </w:r>
      <w:r>
        <w:t xml:space="preserve">т</w:t>
      </w:r>
      <w:r>
        <w:t xml:space="preserve">ся значок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180975"/>
                <wp:effectExtent l="0" t="0" r="0" b="0"/>
                <wp:docPr id="9" name="_x0000_i10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rcRect l="0" t="-15119" r="0" b="0"/>
                        <a:stretch/>
                      </pic:blipFill>
                      <pic:spPr bwMode="auto">
                        <a:xfrm>
                          <a:off x="0" y="0"/>
                          <a:ext cx="27622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1.75pt;height:14.25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  <w:r>
        <w:t xml:space="preserve">.</w:t>
      </w:r>
      <w:bookmarkStart w:id="145" w:name="_Toc383088831"/>
      <w:r/>
      <w:bookmarkStart w:id="146" w:name="_Ref325728261"/>
      <w:r/>
      <w:r/>
    </w:p>
    <w:p>
      <w:pPr>
        <w:pStyle w:val="936"/>
      </w:pPr>
      <w:r/>
      <w:bookmarkStart w:id="147" w:name="_Toc401059274"/>
      <w:r/>
      <w:bookmarkStart w:id="148" w:name="_Toc146034914"/>
      <w:r>
        <w:t xml:space="preserve">Область пользовательских представлений</w:t>
      </w:r>
      <w:bookmarkEnd w:id="145"/>
      <w:r/>
      <w:bookmarkEnd w:id="147"/>
      <w:r/>
      <w:bookmarkEnd w:id="148"/>
      <w:r/>
      <w:r/>
    </w:p>
    <w:p>
      <w:pPr>
        <w:pStyle w:val="958"/>
      </w:pPr>
      <w:r>
        <w:t xml:space="preserve">Область пользовательских представлений позволяет сохранять пользовательские н</w:t>
      </w:r>
      <w:r>
        <w:t xml:space="preserve">а</w:t>
      </w:r>
      <w:r>
        <w:t xml:space="preserve">стройки отображения списка документов (порядок колонок, фильтры, сортировку).</w:t>
      </w:r>
      <w:r/>
    </w:p>
    <w:p>
      <w:pPr>
        <w:pStyle w:val="936"/>
      </w:pPr>
      <w:r/>
      <w:bookmarkStart w:id="149" w:name="_Toc383088832"/>
      <w:r/>
      <w:bookmarkStart w:id="150" w:name="_Toc401059275"/>
      <w:r/>
      <w:bookmarkStart w:id="151" w:name="_Toc146034915"/>
      <w:r>
        <w:t xml:space="preserve">Кнопка настроек параметров программы</w:t>
      </w:r>
      <w:bookmarkEnd w:id="149"/>
      <w:r/>
      <w:bookmarkEnd w:id="150"/>
      <w:r/>
      <w:bookmarkEnd w:id="151"/>
      <w:r/>
      <w:r/>
    </w:p>
    <w:p>
      <w:pPr>
        <w:pStyle w:val="958"/>
      </w:pPr>
      <w:r>
        <w:t xml:space="preserve">При нажатии на кнопку</w:t>
      </w:r>
      <w:r>
        <w:t xml:space="preserve"> </w:t>
      </w:r>
      <w:r>
        <w:t xml:space="preserve">«Настройки»</w:t>
      </w:r>
      <w:r>
        <w:t xml:space="preserve"> (</w:t>
      </w:r>
      <w:r>
        <w:t xml:space="preserve">см.</w:t>
      </w:r>
      <w:r>
        <w:t xml:space="preserve"> </w:t>
      </w:r>
      <w:r>
        <w:t xml:space="preserve">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</w:t>
      </w:r>
      <w:r>
        <w:t xml:space="preserve">8</w:t>
      </w:r>
      <w:r>
        <w:t xml:space="preserve">]) </w:t>
      </w:r>
      <w:r>
        <w:t xml:space="preserve">на экране появляется меню,</w:t>
      </w:r>
      <w:r>
        <w:t xml:space="preserve"> вкл</w:t>
      </w:r>
      <w:r>
        <w:t xml:space="preserve">ю</w:t>
      </w:r>
      <w:r>
        <w:t xml:space="preserve">ча</w:t>
      </w:r>
      <w:r>
        <w:t xml:space="preserve">ющее</w:t>
      </w:r>
      <w:r>
        <w:t xml:space="preserve"> в себя следующие пункты:</w:t>
      </w:r>
      <w:r/>
    </w:p>
    <w:p>
      <w:pPr>
        <w:pStyle w:val="949"/>
      </w:pPr>
      <w:r>
        <w:t xml:space="preserve">«Настройка клиента»;</w:t>
      </w:r>
      <w:r/>
    </w:p>
    <w:p>
      <w:pPr>
        <w:pStyle w:val="949"/>
      </w:pPr>
      <w:r>
        <w:t xml:space="preserve">«Сбросить пользовательские настройки»</w:t>
      </w:r>
      <w:r>
        <w:t xml:space="preserve">;</w:t>
      </w:r>
      <w:r/>
    </w:p>
    <w:p>
      <w:pPr>
        <w:pStyle w:val="949"/>
      </w:pPr>
      <w:r>
        <w:t xml:space="preserve">«Сменить пароль»;</w:t>
      </w:r>
      <w:r/>
    </w:p>
    <w:p>
      <w:pPr>
        <w:pStyle w:val="949"/>
      </w:pPr>
      <w:r>
        <w:t xml:space="preserve">«</w:t>
      </w:r>
      <w:r>
        <w:t xml:space="preserve">О системе</w:t>
      </w:r>
      <w:r>
        <w:t xml:space="preserve">»;</w:t>
      </w:r>
      <w:r/>
    </w:p>
    <w:p>
      <w:pPr>
        <w:pStyle w:val="949"/>
      </w:pPr>
      <w:r>
        <w:t xml:space="preserve">«Выйти».</w:t>
      </w:r>
      <w:r/>
    </w:p>
    <w:p>
      <w:pPr>
        <w:pStyle w:val="936"/>
      </w:pPr>
      <w:r/>
      <w:bookmarkStart w:id="152" w:name="_Toc383088838"/>
      <w:r/>
      <w:bookmarkStart w:id="153" w:name="_Toc401059276"/>
      <w:r/>
      <w:bookmarkStart w:id="154" w:name="_Toc146034916"/>
      <w:r>
        <w:t xml:space="preserve">Кнопка настройки автоматического импорта/экспорта</w:t>
      </w:r>
      <w:bookmarkEnd w:id="152"/>
      <w:r/>
      <w:bookmarkEnd w:id="153"/>
      <w:r/>
      <w:bookmarkEnd w:id="154"/>
      <w:r/>
      <w:r/>
    </w:p>
    <w:p>
      <w:pPr>
        <w:pStyle w:val="958"/>
      </w:pPr>
      <w:r>
        <w:t xml:space="preserve">При нажатии на кнопку </w:t>
      </w:r>
      <w:r>
        <w:t xml:space="preserve">(</w:t>
      </w:r>
      <w:r>
        <w:t xml:space="preserve">см.</w:t>
      </w:r>
      <w:r>
        <w:t xml:space="preserve"> </w:t>
      </w:r>
      <w:r>
        <w:t xml:space="preserve">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</w:t>
      </w:r>
      <w:r>
        <w:t xml:space="preserve">9</w:t>
      </w:r>
      <w:r>
        <w:t xml:space="preserve">]) </w:t>
      </w:r>
      <w:r>
        <w:t xml:space="preserve">на экране появляется окно, позволяющее в</w:t>
      </w:r>
      <w:r>
        <w:t xml:space="preserve">ы</w:t>
      </w:r>
      <w:r>
        <w:t xml:space="preserve">полнить настройку автоматического импорта/экспорта документов.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29200" cy="4295775"/>
                <wp:effectExtent l="0" t="0" r="0" b="0"/>
                <wp:docPr id="10" name="_x0000_i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/>
                        <a:srcRect l="18240" t="19872" r="14641" b="6073"/>
                        <a:stretch/>
                      </pic:blipFill>
                      <pic:spPr bwMode="auto">
                        <a:xfrm>
                          <a:off x="0" y="0"/>
                          <a:ext cx="5029200" cy="429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96.00pt;height:338.25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55" w:name="_Ref334604472"/>
      <w:r/>
      <w:bookmarkStart w:id="156" w:name="_Toc146034962"/>
      <w:r>
        <w:t xml:space="preserve">2</w:t>
      </w:r>
      <w:bookmarkEnd w:id="155"/>
      <w:r>
        <w:fldChar w:fldCharType="end"/>
      </w:r>
      <w:r>
        <w:t xml:space="preserve">.</w:t>
      </w:r>
      <w:r>
        <w:t xml:space="preserve"> Окно настройки</w:t>
      </w:r>
      <w:r>
        <w:t xml:space="preserve"> автоматического импорта/экспорта документов</w:t>
      </w:r>
      <w:bookmarkEnd w:id="156"/>
      <w:r/>
      <w:r/>
    </w:p>
    <w:p>
      <w:pPr>
        <w:pStyle w:val="936"/>
      </w:pPr>
      <w:r/>
      <w:bookmarkStart w:id="157" w:name="_Toc383088839"/>
      <w:r/>
      <w:bookmarkStart w:id="158" w:name="_Toc401059277"/>
      <w:r/>
      <w:bookmarkStart w:id="159" w:name="_Toc146034917"/>
      <w:r>
        <w:t xml:space="preserve">Кнопка вызова окна «Диспетчер задач»</w:t>
      </w:r>
      <w:bookmarkEnd w:id="146"/>
      <w:r/>
      <w:bookmarkEnd w:id="157"/>
      <w:r/>
      <w:bookmarkEnd w:id="158"/>
      <w:r/>
      <w:bookmarkEnd w:id="159"/>
      <w:r/>
      <w:r/>
    </w:p>
    <w:p>
      <w:pPr>
        <w:pStyle w:val="958"/>
      </w:pPr>
      <w:r>
        <w:t xml:space="preserve">Диспетчер задач служит для отображения списка операций, выполняемых пользоват</w:t>
      </w:r>
      <w:r>
        <w:t xml:space="preserve">е</w:t>
      </w:r>
      <w:r>
        <w:t xml:space="preserve">лями над документами. При использовании диспетчера задач, трудоемкие операции (док</w:t>
      </w:r>
      <w:r>
        <w:t xml:space="preserve">у</w:t>
      </w:r>
      <w:r>
        <w:t xml:space="preserve">ментарный</w:t>
      </w:r>
      <w:r>
        <w:t xml:space="preserve"> </w:t>
      </w:r>
      <w:r>
        <w:t xml:space="preserve">контроль, отправка, подписание, импорт и экспорт документов) добавляются в очередь и затем выполняются в порядке их доба</w:t>
      </w:r>
      <w:r>
        <w:t xml:space="preserve">в</w:t>
      </w:r>
      <w:r>
        <w:t xml:space="preserve">ления в очередь.</w:t>
      </w:r>
      <w:r/>
    </w:p>
    <w:p>
      <w:pPr>
        <w:pStyle w:val="958"/>
      </w:pPr>
      <w:r>
        <w:t xml:space="preserve">При нажатии на кнопку открытия окна «Диспетчер за</w:t>
      </w:r>
      <w:r>
        <w:t xml:space="preserve">дач» (см.</w:t>
      </w:r>
      <w:r>
        <w:t xml:space="preserve"> </w:t>
      </w:r>
      <w:r>
        <w:t xml:space="preserve">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[1</w:t>
      </w:r>
      <w:r>
        <w:t xml:space="preserve">0</w:t>
      </w:r>
      <w:r>
        <w:t xml:space="preserve">]) открывается окно со свед</w:t>
      </w:r>
      <w:r>
        <w:t xml:space="preserve">е</w:t>
      </w:r>
      <w:r>
        <w:t xml:space="preserve">ниями о выполненных задачах</w:t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05425" cy="4476750"/>
                <wp:effectExtent l="0" t="0" r="0" b="0"/>
                <wp:docPr id="11" name="_x0000_i10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305425" cy="447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17.75pt;height:352.50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60" w:name="_Toc146034963"/>
      <w:r>
        <w:t xml:space="preserve">3</w:t>
      </w:r>
      <w:r>
        <w:fldChar w:fldCharType="end"/>
      </w:r>
      <w:r>
        <w:t xml:space="preserve">. Пример окна диспетчера задач</w:t>
      </w:r>
      <w:bookmarkEnd w:id="160"/>
      <w:r/>
      <w:r/>
    </w:p>
    <w:p>
      <w:pPr>
        <w:pStyle w:val="936"/>
      </w:pPr>
      <w:r/>
      <w:bookmarkStart w:id="161" w:name="_Toc383088840"/>
      <w:r/>
      <w:bookmarkStart w:id="162" w:name="_Toc401059278"/>
      <w:r/>
      <w:bookmarkStart w:id="163" w:name="_Toc146034918"/>
      <w:r/>
      <w:bookmarkStart w:id="164" w:name="_Toc170885728"/>
      <w:r/>
      <w:bookmarkStart w:id="165" w:name="_Toc221011476"/>
      <w:r/>
      <w:bookmarkStart w:id="166" w:name="_Toc221012177"/>
      <w:r/>
      <w:bookmarkStart w:id="167" w:name="_Toc225934558"/>
      <w:r/>
      <w:bookmarkStart w:id="168" w:name="_Toc231630520"/>
      <w:r/>
      <w:bookmarkStart w:id="169" w:name="_Toc231630644"/>
      <w:r/>
      <w:bookmarkStart w:id="170" w:name="_Ref295381372"/>
      <w:r/>
      <w:bookmarkStart w:id="171" w:name="_Toc302380419"/>
      <w:r/>
      <w:bookmarkStart w:id="172" w:name="_Toc309837803"/>
      <w:r/>
      <w:bookmarkEnd w:id="119"/>
      <w:r/>
      <w:bookmarkEnd w:id="120"/>
      <w:r/>
      <w:bookmarkEnd w:id="121"/>
      <w:r/>
      <w:bookmarkEnd w:id="122"/>
      <w:r/>
      <w:bookmarkEnd w:id="123"/>
      <w:r>
        <w:t xml:space="preserve">Рабочая область</w:t>
      </w:r>
      <w:bookmarkEnd w:id="161"/>
      <w:r/>
      <w:bookmarkEnd w:id="162"/>
      <w:r/>
      <w:bookmarkEnd w:id="163"/>
      <w:r/>
      <w:r/>
    </w:p>
    <w:p>
      <w:pPr>
        <w:pStyle w:val="958"/>
      </w:pPr>
      <w:r>
        <w:t xml:space="preserve">В рабочей области </w:t>
      </w:r>
      <w:r>
        <w:t xml:space="preserve">(см.</w:t>
      </w:r>
      <w:r>
        <w:t xml:space="preserve"> </w:t>
      </w:r>
      <w:r>
        <w:t xml:space="preserve">рис. </w:t>
      </w:r>
      <w:r>
        <w:fldChar w:fldCharType="begin"/>
      </w:r>
      <w:r>
        <w:instrText xml:space="preserve"> REF _Ref227155316 \h  \* MERGEFORMAT </w:instrText>
      </w:r>
      <w:r>
        <w:fldChar w:fldCharType="separate"/>
      </w:r>
      <w:r>
        <w:t xml:space="preserve">1</w:t>
      </w:r>
      <w:r>
        <w:fldChar w:fldCharType="end"/>
      </w:r>
      <w:r>
        <w:t xml:space="preserve"> [1</w:t>
      </w:r>
      <w:r>
        <w:t xml:space="preserve">1</w:t>
      </w:r>
      <w:r>
        <w:t xml:space="preserve">])</w:t>
      </w:r>
      <w:r>
        <w:t xml:space="preserve"> основного окна программы отображается список документов из раздела, выделенного на панели навигации, и информация о выделенном в списке док</w:t>
      </w:r>
      <w:r>
        <w:t xml:space="preserve">у</w:t>
      </w:r>
      <w:r>
        <w:t xml:space="preserve">менте.</w:t>
      </w:r>
      <w:r/>
    </w:p>
    <w:p>
      <w:pPr>
        <w:pStyle w:val="935"/>
      </w:pPr>
      <w:r/>
      <w:bookmarkStart w:id="173" w:name="_Ref326579823"/>
      <w:r/>
      <w:bookmarkStart w:id="174" w:name="_Toc383088841"/>
      <w:r/>
      <w:bookmarkStart w:id="175" w:name="_Toc401059279"/>
      <w:r/>
      <w:bookmarkStart w:id="176" w:name="_Toc146034919"/>
      <w:r/>
      <w:bookmarkStart w:id="177" w:name="_Toc231630521"/>
      <w:r/>
      <w:bookmarkStart w:id="178" w:name="_Toc231630645"/>
      <w:r/>
      <w:bookmarkStart w:id="179" w:name="_Toc302380420"/>
      <w:r/>
      <w:bookmarkStart w:id="180" w:name="_Toc309837804"/>
      <w:r/>
      <w:bookmarkEnd w:id="164"/>
      <w:r/>
      <w:bookmarkEnd w:id="165"/>
      <w:r/>
      <w:bookmarkEnd w:id="166"/>
      <w:r/>
      <w:bookmarkEnd w:id="167"/>
      <w:r/>
      <w:bookmarkEnd w:id="168"/>
      <w:r/>
      <w:bookmarkEnd w:id="169"/>
      <w:r/>
      <w:bookmarkEnd w:id="170"/>
      <w:r/>
      <w:bookmarkEnd w:id="171"/>
      <w:r/>
      <w:bookmarkEnd w:id="172"/>
      <w:r>
        <w:t xml:space="preserve">Описание типовых операций</w:t>
      </w:r>
      <w:bookmarkEnd w:id="173"/>
      <w:r>
        <w:t xml:space="preserve"> и приемов работы</w:t>
      </w:r>
      <w:bookmarkEnd w:id="174"/>
      <w:r/>
      <w:bookmarkEnd w:id="175"/>
      <w:r/>
      <w:bookmarkEnd w:id="176"/>
      <w:r/>
      <w:r/>
    </w:p>
    <w:p>
      <w:pPr>
        <w:pStyle w:val="958"/>
      </w:pPr>
      <w:r>
        <w:t xml:space="preserve"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  <w:r/>
    </w:p>
    <w:p>
      <w:pPr>
        <w:pStyle w:val="936"/>
      </w:pPr>
      <w:r/>
      <w:bookmarkStart w:id="181" w:name="_Toc225934560"/>
      <w:r/>
      <w:bookmarkStart w:id="182" w:name="_Ref227053332"/>
      <w:r/>
      <w:bookmarkStart w:id="183" w:name="_Toc231630527"/>
      <w:r/>
      <w:bookmarkStart w:id="184" w:name="_Toc231630651"/>
      <w:r/>
      <w:bookmarkStart w:id="185" w:name="_Ref301186669"/>
      <w:r/>
      <w:bookmarkStart w:id="186" w:name="_Toc302380423"/>
      <w:r/>
      <w:bookmarkStart w:id="187" w:name="_Toc309837807"/>
      <w:r/>
      <w:bookmarkStart w:id="188" w:name="_Ref369860567"/>
      <w:r/>
      <w:bookmarkStart w:id="189" w:name="_Ref374697912"/>
      <w:r/>
      <w:bookmarkStart w:id="190" w:name="_Ref375570794"/>
      <w:r/>
      <w:bookmarkStart w:id="191" w:name="_Toc383088842"/>
      <w:r/>
      <w:bookmarkStart w:id="192" w:name="_Toc401059280"/>
      <w:r/>
      <w:bookmarkStart w:id="193" w:name="_Toc146034920"/>
      <w:r>
        <w:t xml:space="preserve">Операции доступные </w:t>
      </w:r>
      <w:r>
        <w:t xml:space="preserve">на</w:t>
      </w:r>
      <w:r>
        <w:t xml:space="preserve"> главной панели инструментов</w:t>
      </w:r>
      <w:bookmarkEnd w:id="181"/>
      <w:r/>
      <w:bookmarkEnd w:id="182"/>
      <w:r/>
      <w:bookmarkEnd w:id="183"/>
      <w:r/>
      <w:bookmarkEnd w:id="184"/>
      <w:r/>
      <w:bookmarkEnd w:id="185"/>
      <w:r/>
      <w:bookmarkEnd w:id="186"/>
      <w:r/>
      <w:bookmarkEnd w:id="187"/>
      <w:r/>
      <w:bookmarkEnd w:id="188"/>
      <w:r/>
      <w:bookmarkEnd w:id="189"/>
      <w:r/>
      <w:bookmarkEnd w:id="190"/>
      <w:r/>
      <w:bookmarkEnd w:id="191"/>
      <w:r/>
      <w:bookmarkEnd w:id="192"/>
      <w:r/>
      <w:bookmarkEnd w:id="193"/>
      <w:r/>
      <w:r/>
    </w:p>
    <w:p>
      <w:pPr>
        <w:pStyle w:val="958"/>
      </w:pPr>
      <w:r>
        <w:t xml:space="preserve">Описание типовых операций с документами представлено в таблице</w:t>
      </w:r>
      <w:r>
        <w:t xml:space="preserve"> </w:t>
      </w:r>
      <w:r>
        <w:fldChar w:fldCharType="begin"/>
      </w:r>
      <w:r>
        <w:instrText xml:space="preserve"> REF _Ref204418774 \h  \* MERGEFORMAT </w:instrText>
      </w:r>
      <w:r>
        <w:fldChar w:fldCharType="separate"/>
      </w:r>
      <w:r>
        <w:t xml:space="preserve">2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194" w:name="_Ref204418774"/>
      <w:r/>
      <w:bookmarkStart w:id="195" w:name="_Toc146034946"/>
      <w:r>
        <w:t xml:space="preserve">2</w:t>
      </w:r>
      <w:bookmarkEnd w:id="194"/>
      <w:r>
        <w:fldChar w:fldCharType="end"/>
      </w:r>
      <w:r>
        <w:t xml:space="preserve">. Типовые операции над документами</w:t>
      </w:r>
      <w:bookmarkEnd w:id="195"/>
      <w:r/>
      <w:r/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08"/>
        <w:gridCol w:w="2127"/>
        <w:gridCol w:w="6712"/>
      </w:tblGrid>
      <w:tr>
        <w:tblPrEx/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Кнопка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1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Название операции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4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операции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12" name="_x0000_i103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</w:t>
            </w:r>
            <w:r>
              <w:t xml:space="preserve">р</w:t>
            </w:r>
            <w:r>
              <w:t xml:space="preserve">тировать д</w:t>
            </w:r>
            <w:r>
              <w:t xml:space="preserve">о</w:t>
            </w:r>
            <w:r>
              <w:t xml:space="preserve">кументы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Операция</w:t>
            </w:r>
            <w:r>
              <w:t xml:space="preserve"> позволяет осуществлять импорт файлов</w:t>
            </w:r>
            <w:r>
              <w:t xml:space="preserve"> </w:t>
            </w:r>
            <w:r>
              <w:t xml:space="preserve">в базу данных СУФД в одном из разр</w:t>
            </w:r>
            <w:r>
              <w:t xml:space="preserve">е</w:t>
            </w:r>
            <w:r>
              <w:t xml:space="preserve">шенных форматов.</w:t>
            </w:r>
            <w:r/>
          </w:p>
        </w:tc>
      </w:tr>
      <w:tr>
        <w:tblPrEx/>
        <w:trPr>
          <w:trHeight w:val="605"/>
        </w:trPr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13" name="_x0000_i103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Экспортировать выделенные д</w:t>
            </w:r>
            <w:r>
              <w:t xml:space="preserve">о</w:t>
            </w:r>
            <w:r>
              <w:t xml:space="preserve">кументы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Операция позволяет осуществлять экспорт файлов в одном из разр</w:t>
            </w:r>
            <w:r>
              <w:t xml:space="preserve">е</w:t>
            </w:r>
            <w:r>
              <w:t xml:space="preserve">шенных форматов.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14" name="_x0000_i103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Создать новый док</w:t>
            </w:r>
            <w:r>
              <w:t xml:space="preserve">у</w:t>
            </w:r>
            <w:r>
              <w:t xml:space="preserve">мент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форма ввода нового документа. Следует заполнить п</w:t>
            </w:r>
            <w:r>
              <w:t xml:space="preserve">о</w:t>
            </w:r>
            <w:r>
              <w:t xml:space="preserve">ля нового документа и сохранить введенные данные.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15" name="_x0000_i103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Открыть док</w:t>
            </w:r>
            <w:r>
              <w:t xml:space="preserve">у</w:t>
            </w:r>
            <w:r>
              <w:t xml:space="preserve">мент на реда</w:t>
            </w:r>
            <w:r>
              <w:t xml:space="preserve">к</w:t>
            </w:r>
            <w:r>
              <w:t xml:space="preserve">тиров</w:t>
            </w:r>
            <w:r>
              <w:t xml:space="preserve">а</w:t>
            </w:r>
            <w:r>
              <w:t xml:space="preserve">ние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форма редактирования документа, выбранного в сп</w:t>
            </w:r>
            <w:r>
              <w:t xml:space="preserve">и</w:t>
            </w:r>
            <w:r>
              <w:t xml:space="preserve">ске документов. Следует внести требующиеся изменения и сохранить вв</w:t>
            </w:r>
            <w:r>
              <w:t xml:space="preserve">е</w:t>
            </w:r>
            <w:r>
              <w:t xml:space="preserve">денные данные. Состав полей формы редактирования аналогичен форме создания д</w:t>
            </w:r>
            <w:r>
              <w:t xml:space="preserve">о</w:t>
            </w:r>
            <w:r>
              <w:t xml:space="preserve">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16" name="_x0000_i104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Редактирование вложений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форма, позволяющая выполнить некоторые операции над файлами, приложенными к д</w:t>
            </w:r>
            <w:r>
              <w:t xml:space="preserve">о</w:t>
            </w:r>
            <w:r>
              <w:t xml:space="preserve">кументу.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17" name="_x0000_i104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Открыть док</w:t>
            </w:r>
            <w:r>
              <w:t xml:space="preserve">у</w:t>
            </w:r>
            <w:r>
              <w:t xml:space="preserve">мент на пр</w:t>
            </w:r>
            <w:r>
              <w:t xml:space="preserve">о</w:t>
            </w:r>
            <w:r>
              <w:t xml:space="preserve">смотр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</w:t>
            </w:r>
            <w:r>
              <w:t xml:space="preserve"> экранная</w:t>
            </w:r>
            <w:r>
              <w:t xml:space="preserve"> форма </w:t>
            </w:r>
            <w:r>
              <w:t xml:space="preserve">документа, выбранного для </w:t>
            </w:r>
            <w:r>
              <w:t xml:space="preserve">просмотра</w:t>
            </w:r>
            <w:r>
              <w:t xml:space="preserve">.</w:t>
            </w:r>
            <w:r>
              <w:t xml:space="preserve"> 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18" name="_x0000_i104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Создать копию док</w:t>
            </w:r>
            <w:r>
              <w:t xml:space="preserve">у</w:t>
            </w:r>
            <w:r>
              <w:t xml:space="preserve">мента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форма ввода нового документа, содержание полей кот</w:t>
            </w:r>
            <w:r>
              <w:t xml:space="preserve">о</w:t>
            </w:r>
            <w:r>
              <w:t xml:space="preserve">рого идентично копируемому документу (выбранному в списке док</w:t>
            </w:r>
            <w:r>
              <w:t xml:space="preserve">у</w:t>
            </w:r>
            <w:r>
              <w:t xml:space="preserve">ментов). Следует отредактировать требуемые поля и сохранить вв</w:t>
            </w:r>
            <w:r>
              <w:t xml:space="preserve">е</w:t>
            </w:r>
            <w:r>
              <w:t xml:space="preserve">денные да</w:t>
            </w:r>
            <w:r>
              <w:t xml:space="preserve">н</w:t>
            </w:r>
            <w:r>
              <w:t xml:space="preserve">ные. 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19" name="_x0000_i104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Удалить док</w:t>
            </w:r>
            <w:r>
              <w:t xml:space="preserve">у</w:t>
            </w:r>
            <w:r>
              <w:t xml:space="preserve">мент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окно подтверждения операции удаления выбранного д</w:t>
            </w:r>
            <w:r>
              <w:t xml:space="preserve">о</w:t>
            </w:r>
            <w:r>
              <w:t xml:space="preserve">кумента. При подтверждении операции выполняется удаление док</w:t>
            </w:r>
            <w:r>
              <w:t xml:space="preserve">у</w:t>
            </w:r>
            <w:r>
              <w:t xml:space="preserve">мента. При этом документ не удаляется физически из базы данных, ему присваивается конечный статус «Удален».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0" name="_x0000_i104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Подпись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подписание выбранного документа ЭП пользов</w:t>
            </w:r>
            <w:r>
              <w:t xml:space="preserve">а</w:t>
            </w:r>
            <w:r>
              <w:t xml:space="preserve">теля. 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1" name="_x0000_i104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Проверка по</w:t>
            </w:r>
            <w:r>
              <w:t xml:space="preserve">д</w:t>
            </w:r>
            <w:r>
              <w:t xml:space="preserve">писи 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проверка подлинности</w:t>
            </w:r>
            <w:r>
              <w:t xml:space="preserve"> Э</w:t>
            </w:r>
            <w:r>
              <w:t xml:space="preserve">П выбранного д</w:t>
            </w:r>
            <w:r>
              <w:t xml:space="preserve">о</w:t>
            </w:r>
            <w:r>
              <w:t xml:space="preserve">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2" name="_x0000_i104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Удаление по</w:t>
            </w:r>
            <w:r>
              <w:t xml:space="preserve">д</w:t>
            </w:r>
            <w:r>
              <w:t xml:space="preserve">писи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удаление Э</w:t>
            </w:r>
            <w:r>
              <w:t xml:space="preserve">П выбранного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3" name="_x0000_i104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Документарный контроль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контроль реквизитов документа на соответствие спр</w:t>
            </w:r>
            <w:r>
              <w:t xml:space="preserve">а</w:t>
            </w:r>
            <w:r>
              <w:t xml:space="preserve">вочникам и другие виды контролей, в зависимости от типа докуме</w:t>
            </w:r>
            <w:r>
              <w:t xml:space="preserve">н</w:t>
            </w:r>
            <w:r>
              <w:t xml:space="preserve">та. При успешном прохождении документарного контроля меняется ст</w:t>
            </w:r>
            <w:r>
              <w:t xml:space="preserve">а</w:t>
            </w:r>
            <w:r>
              <w:t xml:space="preserve">тус д</w:t>
            </w:r>
            <w:r>
              <w:t xml:space="preserve">о</w:t>
            </w:r>
            <w:r>
              <w:t xml:space="preserve">кумента. 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4" name="_x0000_i104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Просмотр и</w:t>
            </w:r>
            <w:r>
              <w:t xml:space="preserve">з</w:t>
            </w:r>
            <w:r>
              <w:t xml:space="preserve">менений стат</w:t>
            </w:r>
            <w:r>
              <w:t xml:space="preserve">у</w:t>
            </w:r>
            <w:r>
              <w:t xml:space="preserve">са документа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окно, отображающее историю изменений статуса док</w:t>
            </w:r>
            <w:r>
              <w:t xml:space="preserve">у</w:t>
            </w:r>
            <w:r>
              <w:t xml:space="preserve">мента.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5" name="_x0000_i104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Отправить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отправка выбранного документа. Документу присваив</w:t>
            </w:r>
            <w:r>
              <w:t xml:space="preserve">а</w:t>
            </w:r>
            <w:r>
              <w:t xml:space="preserve">ется статус «Отправляется». С данного статуса уже невозможно отм</w:t>
            </w:r>
            <w:r>
              <w:t xml:space="preserve">е</w:t>
            </w:r>
            <w:r>
              <w:t xml:space="preserve">нить отправку. Кнопка активна для документов имеющих ста</w:t>
            </w:r>
            <w:r>
              <w:t xml:space="preserve">тус «Вв</w:t>
            </w:r>
            <w:r>
              <w:t xml:space="preserve">е</w:t>
            </w:r>
            <w:r>
              <w:t xml:space="preserve">ден». 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6" name="_x0000_i105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Завершить до</w:t>
            </w:r>
            <w:r>
              <w:t xml:space="preserve">с</w:t>
            </w:r>
            <w:r>
              <w:t xml:space="preserve">тавку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завершение доставки документа (статус м</w:t>
            </w:r>
            <w:r>
              <w:t xml:space="preserve">е</w:t>
            </w:r>
            <w:r>
              <w:t xml:space="preserve">няется на «Доставлен»). Операция выполняется в том случае, когда документ доставляется не через транспортную сист</w:t>
            </w:r>
            <w:r>
              <w:t xml:space="preserve">е</w:t>
            </w:r>
            <w:r>
              <w:t xml:space="preserve">му СУФД.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7" name="_x0000_i105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Повторить п</w:t>
            </w:r>
            <w:r>
              <w:t xml:space="preserve">о</w:t>
            </w:r>
            <w:r>
              <w:t xml:space="preserve">иск адресата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случае ошибки адресации выполняется повторный поиск адрес</w:t>
            </w:r>
            <w:r>
              <w:t xml:space="preserve">а</w:t>
            </w:r>
            <w:r>
              <w:t xml:space="preserve">та.</w:t>
            </w:r>
            <w:r/>
          </w:p>
        </w:tc>
      </w:tr>
      <w:tr>
        <w:tblPrEx/>
        <w:trPr>
          <w:trHeight w:val="259"/>
        </w:trPr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8" name="_x0000_i105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Повторная в</w:t>
            </w:r>
            <w:r>
              <w:t xml:space="preserve">ы</w:t>
            </w:r>
            <w:r>
              <w:t xml:space="preserve">грузка квитка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</w:t>
            </w:r>
            <w:r>
              <w:t xml:space="preserve">повторная в</w:t>
            </w:r>
            <w:r>
              <w:t xml:space="preserve">ы</w:t>
            </w:r>
            <w:r>
              <w:t xml:space="preserve">грузка квитка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29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Отказать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отмена документа. Документ переходит на конечный статус «Отменен», формируется протокол о</w:t>
            </w:r>
            <w:r>
              <w:t xml:space="preserve">т</w:t>
            </w:r>
            <w:r>
              <w:t xml:space="preserve">мены.</w:t>
            </w:r>
            <w:r/>
          </w:p>
          <w:p>
            <w:pPr>
              <w:pStyle w:val="969"/>
              <w:ind w:left="57" w:right="57"/>
            </w:pPr>
            <w:r>
              <w:t xml:space="preserve">При выполнении операции «Отказать документ и сформировать пр</w:t>
            </w:r>
            <w:r>
              <w:t xml:space="preserve">о</w:t>
            </w:r>
            <w:r>
              <w:t xml:space="preserve">токол», у документа сохраняется предыд</w:t>
            </w:r>
            <w:r>
              <w:t xml:space="preserve">у</w:t>
            </w:r>
            <w:r>
              <w:t xml:space="preserve">щий бизнес-статус. 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0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Печать док</w:t>
            </w:r>
            <w:r>
              <w:t xml:space="preserve">у</w:t>
            </w:r>
            <w:r>
              <w:t xml:space="preserve">мента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окно выбора шаблона печатной формы. Следует выбрать шаблон из списка и нажать «</w:t>
            </w:r>
            <w:r>
              <w:t xml:space="preserve">OK</w:t>
            </w:r>
            <w:r>
              <w:t xml:space="preserve">». Выбранный документ о</w:t>
            </w:r>
            <w:r>
              <w:t xml:space="preserve">т</w:t>
            </w:r>
            <w:r>
              <w:t xml:space="preserve">правляется на печать.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1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Печать скро</w:t>
            </w:r>
            <w:r>
              <w:t xml:space="preserve">л</w:t>
            </w:r>
            <w:r>
              <w:t xml:space="preserve">лера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Позволяет сохранить весь список документов данного типа со всеми реквизитами в файл формата </w:t>
            </w:r>
            <w:r>
              <w:rPr>
                <w:lang w:val="en-US"/>
              </w:rPr>
              <w:t xml:space="preserve">excel</w:t>
            </w:r>
            <w:r>
              <w:t xml:space="preserve"> для последующей печати или обр</w:t>
            </w:r>
            <w:r>
              <w:t xml:space="preserve">а</w:t>
            </w:r>
            <w:r>
              <w:t xml:space="preserve">ботки. Можно сохранять только выделенные строки.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2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Поиск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окно ввода параметров поиска, позволяющее быстро на</w:t>
            </w:r>
            <w:r>
              <w:t xml:space="preserve">й</w:t>
            </w:r>
            <w:r>
              <w:t xml:space="preserve">ти нужный документ в списке докуме</w:t>
            </w:r>
            <w:r>
              <w:t xml:space="preserve">н</w:t>
            </w:r>
            <w:r>
              <w:t xml:space="preserve">тов.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3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Откат статуса передачи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Позволяет откатить статус документа, соответствующий более ранней стадии обработки документа, если документ не был подписан или о</w:t>
            </w:r>
            <w:r>
              <w:t xml:space="preserve">б</w:t>
            </w:r>
            <w:r>
              <w:t xml:space="preserve">работан транспортной по</w:t>
            </w:r>
            <w:r>
              <w:t xml:space="preserve">д</w:t>
            </w:r>
            <w:r>
              <w:t xml:space="preserve">системой СУФД.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4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Обновить сп</w:t>
            </w:r>
            <w:r>
              <w:t xml:space="preserve">и</w:t>
            </w:r>
            <w:r>
              <w:t xml:space="preserve">сок документов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обновление списка документов, в соответствии с после</w:t>
            </w:r>
            <w:r>
              <w:t xml:space="preserve">д</w:t>
            </w:r>
            <w:r>
              <w:t xml:space="preserve">ними изменениями.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5" name="_x0000_i105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Добавить в а</w:t>
            </w:r>
            <w:r>
              <w:t xml:space="preserve">р</w:t>
            </w:r>
            <w:r>
              <w:t xml:space="preserve">хив / Извлечь из архива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Добавление (извлечение) документа в</w:t>
            </w:r>
            <w:r>
              <w:t xml:space="preserve"> </w:t>
            </w:r>
            <w:r>
              <w:t xml:space="preserve">(из) архив(а)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6" name="_x0000_i106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09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Закрыть</w:t>
            </w:r>
            <w:r/>
          </w:p>
        </w:tc>
        <w:tc>
          <w:tcPr>
            <w:shd w:val="clear" w:color="auto" w:fill="auto"/>
            <w:tcW w:w="3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Закры</w:t>
            </w:r>
            <w:r>
              <w:t xml:space="preserve">тие</w:t>
            </w:r>
            <w:r>
              <w:t xml:space="preserve"> текуще</w:t>
            </w:r>
            <w:r>
              <w:t xml:space="preserve">го</w:t>
            </w:r>
            <w:r>
              <w:t xml:space="preserve"> окн</w:t>
            </w:r>
            <w:r>
              <w:t xml:space="preserve">а и выход из программы.</w:t>
            </w:r>
            <w:r/>
          </w:p>
        </w:tc>
      </w:tr>
    </w:tbl>
    <w:p>
      <w:pPr>
        <w:pStyle w:val="936"/>
      </w:pPr>
      <w:r/>
      <w:bookmarkStart w:id="196" w:name="_Toc383088843"/>
      <w:r/>
      <w:bookmarkStart w:id="197" w:name="_Toc401059281"/>
      <w:r/>
      <w:bookmarkStart w:id="198" w:name="_Toc146034921"/>
      <w:r/>
      <w:bookmarkStart w:id="199" w:name="_Toc225934561"/>
      <w:r/>
      <w:bookmarkStart w:id="200" w:name="_Toc231630528"/>
      <w:r/>
      <w:bookmarkStart w:id="201" w:name="_Toc231630652"/>
      <w:r/>
      <w:bookmarkStart w:id="202" w:name="_Toc302380424"/>
      <w:r/>
      <w:bookmarkStart w:id="203" w:name="_Toc309837808"/>
      <w:r>
        <w:t xml:space="preserve">Использование «горячих клавиш»</w:t>
      </w:r>
      <w:bookmarkEnd w:id="196"/>
      <w:r/>
      <w:bookmarkEnd w:id="197"/>
      <w:r/>
      <w:bookmarkEnd w:id="198"/>
      <w:r/>
      <w:r/>
    </w:p>
    <w:p>
      <w:pPr>
        <w:pStyle w:val="958"/>
      </w:pPr>
      <w:r>
        <w:t xml:space="preserve">При работе со списком документов или вложенными таблицами, можно воспользоват</w:t>
      </w:r>
      <w:r>
        <w:t xml:space="preserve">ь</w:t>
      </w:r>
      <w:r>
        <w:t xml:space="preserve">ся «горячими клавишами», которые позволяют быстро выполнять некоторые наиболее часто испол</w:t>
      </w:r>
      <w:r>
        <w:t xml:space="preserve">ь</w:t>
      </w:r>
      <w:r>
        <w:t xml:space="preserve">зуемые операции.</w:t>
      </w:r>
      <w:r/>
    </w:p>
    <w:p>
      <w:pPr>
        <w:pStyle w:val="958"/>
      </w:pPr>
      <w:r>
        <w:t xml:space="preserve">Список «горячих клавиш» при работе со списком докуме</w:t>
      </w:r>
      <w:r>
        <w:t xml:space="preserve">н</w:t>
      </w:r>
      <w:r>
        <w:t xml:space="preserve">тов:</w:t>
      </w:r>
      <w:r/>
    </w:p>
    <w:p>
      <w:pPr>
        <w:pStyle w:val="949"/>
      </w:pPr>
      <w:r>
        <w:rPr>
          <w:lang w:val="en-US"/>
        </w:rPr>
        <w:t xml:space="preserve">Alt</w:t>
      </w:r>
      <w:r>
        <w:t xml:space="preserve">+</w:t>
      </w:r>
      <w:r>
        <w:t xml:space="preserve">N</w:t>
      </w:r>
      <w:r>
        <w:t xml:space="preserve"> </w:t>
      </w:r>
      <w:r>
        <w:t xml:space="preserve">– создать новый документ;</w:t>
      </w:r>
      <w:r/>
    </w:p>
    <w:p>
      <w:pPr>
        <w:pStyle w:val="949"/>
      </w:pPr>
      <w:r>
        <w:rPr>
          <w:lang w:val="en-US"/>
        </w:rPr>
        <w:t xml:space="preserve">Alt</w:t>
      </w:r>
      <w:r>
        <w:t xml:space="preserve"> </w:t>
      </w:r>
      <w:r>
        <w:t xml:space="preserve">+</w:t>
      </w:r>
      <w:r>
        <w:t xml:space="preserve">D</w:t>
      </w:r>
      <w:r>
        <w:t xml:space="preserve"> </w:t>
      </w:r>
      <w:r>
        <w:t xml:space="preserve">– удалить выделенный документ;</w:t>
      </w:r>
      <w:r/>
    </w:p>
    <w:p>
      <w:pPr>
        <w:pStyle w:val="949"/>
      </w:pPr>
      <w:r>
        <w:rPr>
          <w:lang w:val="en-US"/>
        </w:rPr>
        <w:t xml:space="preserve">Alt</w:t>
      </w:r>
      <w:r>
        <w:t xml:space="preserve">+</w:t>
      </w:r>
      <w:r>
        <w:t xml:space="preserve">F </w:t>
      </w:r>
      <w:r>
        <w:t xml:space="preserve">– поиск документа;</w:t>
      </w:r>
      <w:r/>
    </w:p>
    <w:p>
      <w:pPr>
        <w:pStyle w:val="949"/>
      </w:pPr>
      <w:r>
        <w:rPr>
          <w:lang w:val="en-US"/>
        </w:rPr>
        <w:t xml:space="preserve">Alt</w:t>
      </w:r>
      <w:r>
        <w:t xml:space="preserve">+</w:t>
      </w:r>
      <w:r>
        <w:t xml:space="preserve">P </w:t>
      </w:r>
      <w:r>
        <w:t xml:space="preserve">– печать документа;</w:t>
      </w:r>
      <w:r/>
    </w:p>
    <w:p>
      <w:pPr>
        <w:pStyle w:val="949"/>
      </w:pPr>
      <w:r>
        <w:rPr>
          <w:lang w:val="en-US"/>
        </w:rPr>
        <w:t xml:space="preserve">Ctrl</w:t>
      </w:r>
      <w:r>
        <w:t xml:space="preserve">+</w:t>
      </w:r>
      <w:r>
        <w:t xml:space="preserve">A</w:t>
      </w:r>
      <w:r>
        <w:t xml:space="preserve"> </w:t>
      </w:r>
      <w:r>
        <w:t xml:space="preserve">– выделение всех документов на текущей стр</w:t>
      </w:r>
      <w:r>
        <w:t xml:space="preserve">а</w:t>
      </w:r>
      <w:r>
        <w:t xml:space="preserve">нице списка.</w:t>
      </w:r>
      <w:r/>
    </w:p>
    <w:p>
      <w:pPr>
        <w:pStyle w:val="958"/>
      </w:pPr>
      <w:r>
        <w:t xml:space="preserve">Список горячих клав</w:t>
      </w:r>
      <w:r>
        <w:t xml:space="preserve">иш для вложенных таблиц (см.</w:t>
      </w:r>
      <w:r>
        <w:t xml:space="preserve"> </w:t>
      </w:r>
      <w:r>
        <w:t xml:space="preserve">п.</w:t>
      </w:r>
      <w:r>
        <w:t xml:space="preserve"> </w:t>
      </w:r>
      <w:r>
        <w:fldChar w:fldCharType="begin"/>
      </w:r>
      <w:r>
        <w:instrText xml:space="preserve"> REF _Ref328396131 \r \h </w:instrText>
      </w:r>
      <w:r>
        <w:fldChar w:fldCharType="separate"/>
      </w:r>
      <w:r>
        <w:t xml:space="preserve">4.2.4</w:t>
      </w:r>
      <w:r>
        <w:fldChar w:fldCharType="end"/>
      </w:r>
      <w:r>
        <w:t xml:space="preserve">):</w:t>
      </w:r>
      <w:r/>
    </w:p>
    <w:p>
      <w:pPr>
        <w:pStyle w:val="949"/>
      </w:pPr>
      <w:r>
        <w:rPr>
          <w:lang w:val="en-US"/>
        </w:rPr>
        <w:t xml:space="preserve">Alt</w:t>
      </w:r>
      <w:r>
        <w:t xml:space="preserve">+</w:t>
      </w:r>
      <w:r>
        <w:t xml:space="preserve">B</w:t>
      </w:r>
      <w:r>
        <w:t xml:space="preserve"> </w:t>
      </w:r>
      <w:r>
        <w:t xml:space="preserve">– создать копию строки;</w:t>
      </w:r>
      <w:r/>
    </w:p>
    <w:p>
      <w:pPr>
        <w:pStyle w:val="949"/>
      </w:pPr>
      <w:r>
        <w:rPr>
          <w:lang w:val="en-US"/>
        </w:rPr>
        <w:t xml:space="preserve">Alt</w:t>
      </w:r>
      <w:r>
        <w:t xml:space="preserve">+</w:t>
      </w:r>
      <w:r>
        <w:t xml:space="preserve">F </w:t>
      </w:r>
      <w:r>
        <w:t xml:space="preserve">– поиск;</w:t>
      </w:r>
      <w:r/>
    </w:p>
    <w:p>
      <w:pPr>
        <w:pStyle w:val="949"/>
      </w:pPr>
      <w:r>
        <w:rPr>
          <w:lang w:val="en-US"/>
        </w:rPr>
        <w:t xml:space="preserve">Ins</w:t>
      </w:r>
      <w:r>
        <w:t xml:space="preserve"> </w:t>
      </w:r>
      <w:r>
        <w:t xml:space="preserve">– добавить новую строку;</w:t>
      </w:r>
      <w:r/>
    </w:p>
    <w:p>
      <w:pPr>
        <w:pStyle w:val="949"/>
      </w:pPr>
      <w:r>
        <w:t xml:space="preserve">Del</w:t>
      </w:r>
      <w:r>
        <w:t xml:space="preserve"> </w:t>
      </w:r>
      <w:r>
        <w:t xml:space="preserve">– удалить строку.</w:t>
      </w:r>
      <w:r/>
    </w:p>
    <w:p>
      <w:pPr>
        <w:pStyle w:val="960"/>
      </w:pPr>
      <w:r>
        <w:rPr>
          <w:rStyle w:val="965"/>
        </w:rPr>
        <w:t xml:space="preserve">Внимание!</w:t>
      </w:r>
      <w:r>
        <w:tab/>
        <w:t xml:space="preserve">Перед использованием «горячих клавиш» необх</w:t>
      </w:r>
      <w:r>
        <w:t xml:space="preserve">о</w:t>
      </w:r>
      <w:r>
        <w:t xml:space="preserve">димо сначала выделить произвольную строку списка документов или запись во вложенной та</w:t>
      </w:r>
      <w:r>
        <w:t xml:space="preserve">б</w:t>
      </w:r>
      <w:r>
        <w:t xml:space="preserve">лице.</w:t>
      </w:r>
      <w:r/>
    </w:p>
    <w:p>
      <w:pPr>
        <w:pStyle w:val="936"/>
      </w:pPr>
      <w:r/>
      <w:bookmarkStart w:id="204" w:name="_Toc383088844"/>
      <w:r/>
      <w:bookmarkStart w:id="205" w:name="_Toc401059282"/>
      <w:r/>
      <w:bookmarkStart w:id="206" w:name="_Toc146034922"/>
      <w:r>
        <w:t xml:space="preserve">Операции доступные на</w:t>
      </w:r>
      <w:r>
        <w:t xml:space="preserve"> панели инструментов экранной формы документа</w:t>
      </w:r>
      <w:bookmarkEnd w:id="199"/>
      <w:r/>
      <w:bookmarkEnd w:id="200"/>
      <w:r/>
      <w:bookmarkEnd w:id="201"/>
      <w:r/>
      <w:bookmarkEnd w:id="202"/>
      <w:r/>
      <w:bookmarkEnd w:id="203"/>
      <w:r/>
      <w:bookmarkEnd w:id="204"/>
      <w:r/>
      <w:bookmarkEnd w:id="205"/>
      <w:r/>
      <w:bookmarkEnd w:id="206"/>
      <w:r/>
      <w:r/>
    </w:p>
    <w:p>
      <w:pPr>
        <w:pStyle w:val="958"/>
      </w:pPr>
      <w:r>
        <w:t xml:space="preserve">При вводе/редактировании документа используются кнопки, расположенные на панели инструментов экранной формы док</w:t>
      </w:r>
      <w:r>
        <w:t xml:space="preserve">у</w:t>
      </w:r>
      <w:r>
        <w:t xml:space="preserve">мента (рис. </w:t>
      </w:r>
      <w:r>
        <w:fldChar w:fldCharType="begin"/>
      </w:r>
      <w:r>
        <w:instrText xml:space="preserve"> REF _Ref220757333 \h  \* MERGEFORMAT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4114800"/>
                <wp:effectExtent l="0" t="0" r="0" b="0"/>
                <wp:docPr id="37" name="_x0000_i106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6124575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482.25pt;height:324.00pt;mso-wrap-distance-left:0.00pt;mso-wrap-distance-top:0.00pt;mso-wrap-distance-right:0.00pt;mso-wrap-distance-bottom:0.00pt;" stroked="f">
                <v:path textboxrect="0,0,0,0"/>
                <v:imagedata r:id="rId52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07" w:name="_Ref220757333"/>
      <w:r/>
      <w:bookmarkStart w:id="208" w:name="_Toc146034964"/>
      <w:r>
        <w:t xml:space="preserve">4</w:t>
      </w:r>
      <w:bookmarkEnd w:id="207"/>
      <w:r>
        <w:fldChar w:fldCharType="end"/>
      </w:r>
      <w:r>
        <w:t xml:space="preserve">. Пример панели инструментов экранной формы документа</w:t>
      </w:r>
      <w:bookmarkEnd w:id="208"/>
      <w:r/>
      <w:r/>
    </w:p>
    <w:p>
      <w:pPr>
        <w:pStyle w:val="958"/>
      </w:pPr>
      <w:r>
        <w:t xml:space="preserve">Назначение кнопок описано в таблице</w:t>
      </w:r>
      <w:r>
        <w:t xml:space="preserve"> </w:t>
      </w:r>
      <w:r>
        <w:fldChar w:fldCharType="begin"/>
      </w:r>
      <w:r>
        <w:instrText xml:space="preserve"> REF _Ref205891258 \h  \* MERGEFORMAT </w:instrText>
      </w:r>
      <w:r>
        <w:fldChar w:fldCharType="separate"/>
      </w:r>
      <w:r>
        <w:t xml:space="preserve">3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09" w:name="_Ref205891258"/>
      <w:r/>
      <w:bookmarkStart w:id="210" w:name="_Toc146034947"/>
      <w:r>
        <w:t xml:space="preserve">3</w:t>
      </w:r>
      <w:bookmarkEnd w:id="209"/>
      <w:r>
        <w:fldChar w:fldCharType="end"/>
      </w:r>
      <w:r>
        <w:t xml:space="preserve">. Описание кнопок панели инструментов э</w:t>
      </w:r>
      <w:r>
        <w:t xml:space="preserve">к</w:t>
      </w:r>
      <w:r>
        <w:t xml:space="preserve">ранной формы документа</w:t>
      </w:r>
      <w:bookmarkEnd w:id="210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18"/>
        <w:gridCol w:w="2426"/>
        <w:gridCol w:w="6308"/>
      </w:tblGrid>
      <w:tr>
        <w:tblPrEx/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22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Кнопка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44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Название операции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34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операции</w:t>
            </w:r>
            <w:r/>
          </w:p>
        </w:tc>
      </w:tr>
      <w:tr>
        <w:tblPrEx/>
        <w:trPr/>
        <w:tc>
          <w:tcPr>
            <w:shd w:val="clear" w:color="auto" w:fill="auto"/>
            <w:tcW w:w="522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8" name="_x0000_i106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2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Создать новый док</w:t>
            </w:r>
            <w:r>
              <w:t xml:space="preserve">у</w:t>
            </w:r>
            <w:r>
              <w:t xml:space="preserve">мент</w:t>
            </w:r>
            <w:r/>
          </w:p>
        </w:tc>
        <w:tc>
          <w:tcPr>
            <w:shd w:val="clear" w:color="auto" w:fill="auto"/>
            <w:tcW w:w="323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форма для создания нового док</w:t>
            </w:r>
            <w:r>
              <w:t xml:space="preserve">у</w:t>
            </w:r>
            <w:r>
              <w:t xml:space="preserve">мента. </w:t>
            </w:r>
            <w:r/>
          </w:p>
        </w:tc>
      </w:tr>
      <w:tr>
        <w:tblPrEx/>
        <w:trPr/>
        <w:tc>
          <w:tcPr>
            <w:shd w:val="clear" w:color="auto" w:fill="auto"/>
            <w:tcW w:w="522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39" name="_x0000_i106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2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Создать копию док</w:t>
            </w:r>
            <w:r>
              <w:t xml:space="preserve">у</w:t>
            </w:r>
            <w:r>
              <w:t xml:space="preserve">мента</w:t>
            </w:r>
            <w:r/>
          </w:p>
        </w:tc>
        <w:tc>
          <w:tcPr>
            <w:shd w:val="clear" w:color="auto" w:fill="auto"/>
            <w:tcW w:w="323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Создается к</w:t>
            </w:r>
            <w:r>
              <w:t xml:space="preserve">о</w:t>
            </w:r>
            <w:r>
              <w:t xml:space="preserve">пия открытого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522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0" name="_x0000_i106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2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Выбрать родител</w:t>
            </w:r>
            <w:r>
              <w:t xml:space="preserve">ь</w:t>
            </w:r>
            <w:r>
              <w:t xml:space="preserve">ский документ</w:t>
            </w:r>
            <w:r/>
          </w:p>
        </w:tc>
        <w:tc>
          <w:tcPr>
            <w:shd w:val="clear" w:color="auto" w:fill="auto"/>
            <w:tcW w:w="323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окно поиска родительского документа. </w:t>
            </w:r>
            <w:r/>
          </w:p>
        </w:tc>
      </w:tr>
      <w:tr>
        <w:tblPrEx/>
        <w:trPr/>
        <w:tc>
          <w:tcPr>
            <w:shd w:val="clear" w:color="auto" w:fill="auto"/>
            <w:tcW w:w="522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1" name="_x0000_i106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2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Сохранить измен</w:t>
            </w:r>
            <w:r>
              <w:t xml:space="preserve">е</w:t>
            </w:r>
            <w:r>
              <w:t xml:space="preserve">ния</w:t>
            </w:r>
            <w:r/>
          </w:p>
        </w:tc>
        <w:tc>
          <w:tcPr>
            <w:shd w:val="clear" w:color="auto" w:fill="auto"/>
            <w:tcW w:w="323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контроль заполнения полей документа и сохран</w:t>
            </w:r>
            <w:r>
              <w:t xml:space="preserve">е</w:t>
            </w:r>
            <w:r>
              <w:t xml:space="preserve">ние произведенных изменений.</w:t>
            </w:r>
            <w:r/>
          </w:p>
        </w:tc>
      </w:tr>
      <w:tr>
        <w:tblPrEx/>
        <w:trPr/>
        <w:tc>
          <w:tcPr>
            <w:shd w:val="clear" w:color="auto" w:fill="auto"/>
            <w:tcW w:w="522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2" name="_x0000_i106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2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Сохранить измен</w:t>
            </w:r>
            <w:r>
              <w:t xml:space="preserve">е</w:t>
            </w:r>
            <w:r>
              <w:t xml:space="preserve">ния и закрыть окно</w:t>
            </w:r>
            <w:r/>
          </w:p>
        </w:tc>
        <w:tc>
          <w:tcPr>
            <w:shd w:val="clear" w:color="auto" w:fill="auto"/>
            <w:tcW w:w="323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контроль заполнения полей документа, сохран</w:t>
            </w:r>
            <w:r>
              <w:t xml:space="preserve">е</w:t>
            </w:r>
            <w:r>
              <w:t xml:space="preserve">ние произведенных изменений и выход из формы.</w:t>
            </w:r>
            <w:r/>
          </w:p>
        </w:tc>
      </w:tr>
      <w:tr>
        <w:tblPrEx/>
        <w:trPr/>
        <w:tc>
          <w:tcPr>
            <w:shd w:val="clear" w:color="auto" w:fill="auto"/>
            <w:tcW w:w="522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3" name="_x0000_i106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2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Проверить док</w:t>
            </w:r>
            <w:r>
              <w:t xml:space="preserve">у</w:t>
            </w:r>
            <w:r>
              <w:t xml:space="preserve">мент</w:t>
            </w:r>
            <w:r/>
          </w:p>
        </w:tc>
        <w:tc>
          <w:tcPr>
            <w:shd w:val="clear" w:color="auto" w:fill="auto"/>
            <w:tcW w:w="323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проверка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522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4" name="_x0000_i106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2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Печать</w:t>
            </w:r>
            <w:r/>
          </w:p>
        </w:tc>
        <w:tc>
          <w:tcPr>
            <w:shd w:val="clear" w:color="auto" w:fill="auto"/>
            <w:tcW w:w="323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Выполняется отправка документа на печать.</w:t>
            </w:r>
            <w:r/>
          </w:p>
        </w:tc>
      </w:tr>
      <w:tr>
        <w:tblPrEx/>
        <w:trPr/>
        <w:tc>
          <w:tcPr>
            <w:shd w:val="clear" w:color="auto" w:fill="auto"/>
            <w:tcW w:w="522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5" name="_x0000_i106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2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Закрыть форму </w:t>
            </w:r>
            <w:r/>
          </w:p>
        </w:tc>
        <w:tc>
          <w:tcPr>
            <w:shd w:val="clear" w:color="auto" w:fill="auto"/>
            <w:tcW w:w="323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Закрывается форма документа.</w:t>
            </w:r>
            <w:r/>
          </w:p>
        </w:tc>
      </w:tr>
    </w:tbl>
    <w:p>
      <w:pPr>
        <w:pStyle w:val="936"/>
      </w:pPr>
      <w:r/>
      <w:bookmarkStart w:id="211" w:name="_Toc225934563"/>
      <w:r/>
      <w:bookmarkStart w:id="212" w:name="_Ref227065730"/>
      <w:r/>
      <w:bookmarkStart w:id="213" w:name="_Toc231630529"/>
      <w:r/>
      <w:bookmarkStart w:id="214" w:name="_Toc231630653"/>
      <w:r/>
      <w:bookmarkStart w:id="215" w:name="_Toc302380425"/>
      <w:r/>
      <w:bookmarkStart w:id="216" w:name="_Toc309837809"/>
      <w:r/>
      <w:bookmarkStart w:id="217" w:name="_Ref328396131"/>
      <w:r/>
      <w:bookmarkStart w:id="218" w:name="_Toc383088845"/>
      <w:r/>
      <w:bookmarkStart w:id="219" w:name="_Toc401059283"/>
      <w:r/>
      <w:bookmarkStart w:id="220" w:name="_Toc146034923"/>
      <w:r>
        <w:t xml:space="preserve">Работа с табличными записями.</w:t>
      </w:r>
      <w:bookmarkEnd w:id="211"/>
      <w:r/>
      <w:bookmarkEnd w:id="212"/>
      <w:r/>
      <w:bookmarkEnd w:id="213"/>
      <w:r/>
      <w:bookmarkEnd w:id="214"/>
      <w:r/>
      <w:bookmarkEnd w:id="215"/>
      <w:r/>
      <w:bookmarkEnd w:id="216"/>
      <w:r/>
      <w:bookmarkEnd w:id="217"/>
      <w:r/>
      <w:bookmarkEnd w:id="218"/>
      <w:r/>
      <w:bookmarkEnd w:id="219"/>
      <w:r/>
      <w:bookmarkEnd w:id="220"/>
      <w:r/>
      <w:r/>
    </w:p>
    <w:p>
      <w:pPr>
        <w:pStyle w:val="958"/>
      </w:pPr>
      <w:r>
        <w:t xml:space="preserve">Экранные формы документов могут содержать встроенные таблицы (табличные блоки). Пример экранной формы, содерж</w:t>
      </w:r>
      <w:r>
        <w:t xml:space="preserve">а</w:t>
      </w:r>
      <w:r>
        <w:t xml:space="preserve">щей встроенную таблицу, показан на рисунке</w:t>
      </w:r>
      <w:r>
        <w:t xml:space="preserve"> </w:t>
      </w:r>
      <w:r>
        <w:fldChar w:fldCharType="begin"/>
      </w:r>
      <w:r>
        <w:instrText xml:space="preserve"> REF _Ref328404363 \h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6305550"/>
                <wp:effectExtent l="0" t="0" r="0" b="0"/>
                <wp:docPr id="46" name="_x0000_i107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56"/>
                        <a:srcRect l="0" t="2203" r="0" b="1174"/>
                        <a:stretch/>
                      </pic:blipFill>
                      <pic:spPr bwMode="auto">
                        <a:xfrm>
                          <a:off x="0" y="0"/>
                          <a:ext cx="6124575" cy="630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482.25pt;height:496.50pt;mso-wrap-distance-left:0.00pt;mso-wrap-distance-top:0.00pt;mso-wrap-distance-right:0.00pt;mso-wrap-distance-bottom:0.00pt;" stroked="f">
                <v:path textboxrect="0,0,0,0"/>
                <v:imagedata r:id="rId56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21" w:name="_Ref328404363"/>
      <w:r/>
      <w:bookmarkStart w:id="222" w:name="_Toc146034965"/>
      <w:r>
        <w:t xml:space="preserve">5</w:t>
      </w:r>
      <w:bookmarkEnd w:id="221"/>
      <w:r>
        <w:fldChar w:fldCharType="end"/>
      </w:r>
      <w:r>
        <w:t xml:space="preserve">. Пример экранной формы, содержащей встроенную таблицу</w:t>
      </w:r>
      <w:bookmarkEnd w:id="222"/>
      <w:r/>
      <w:r/>
    </w:p>
    <w:p>
      <w:pPr>
        <w:pStyle w:val="958"/>
      </w:pPr>
      <w:r>
        <w:t xml:space="preserve">При работе со встроенными таблицами используются кнопки, расположенные на пан</w:t>
      </w:r>
      <w:r>
        <w:t xml:space="preserve">е</w:t>
      </w:r>
      <w:r>
        <w:t xml:space="preserve">ли инструментов табличного блока.</w:t>
      </w:r>
      <w:r/>
    </w:p>
    <w:p>
      <w:pPr>
        <w:pStyle w:val="958"/>
      </w:pPr>
      <w:r>
        <w:t xml:space="preserve">Для выполнения операции следует выделить во вложенной таблице нужную запись и нажать соответствующую кнопку на табличной панели инструментов</w:t>
      </w:r>
      <w:r>
        <w:t xml:space="preserve"> </w:t>
      </w:r>
      <w:r>
        <w:t xml:space="preserve">(таб</w:t>
      </w:r>
      <w:r>
        <w:t xml:space="preserve">л</w:t>
      </w:r>
      <w:r>
        <w:t xml:space="preserve">. </w:t>
      </w:r>
      <w:r>
        <w:fldChar w:fldCharType="begin"/>
      </w:r>
      <w:r>
        <w:instrText xml:space="preserve"> REF _Ref227420372 \h  \* MERGEFORMAT </w:instrText>
      </w:r>
      <w:r>
        <w:fldChar w:fldCharType="separate"/>
      </w:r>
      <w:r>
        <w:t xml:space="preserve">4</w:t>
      </w:r>
      <w:r>
        <w:fldChar w:fldCharType="end"/>
      </w:r>
      <w:r>
        <w:t xml:space="preserve">).</w:t>
      </w:r>
      <w:r/>
    </w:p>
    <w:p>
      <w:pPr>
        <w:pStyle w:val="957"/>
      </w:pPr>
      <w:r/>
      <w:bookmarkStart w:id="223" w:name="_Toc225934564"/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24" w:name="_Ref227420372"/>
      <w:r/>
      <w:bookmarkStart w:id="225" w:name="_Toc146034948"/>
      <w:r>
        <w:t xml:space="preserve">4</w:t>
      </w:r>
      <w:bookmarkEnd w:id="224"/>
      <w:r>
        <w:fldChar w:fldCharType="end"/>
      </w:r>
      <w:r>
        <w:t xml:space="preserve">. Описание кнопок панели инструментов табличного бл</w:t>
      </w:r>
      <w:r>
        <w:t xml:space="preserve">о</w:t>
      </w:r>
      <w:r>
        <w:t xml:space="preserve">ка</w:t>
      </w:r>
      <w:bookmarkEnd w:id="22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266"/>
        <w:gridCol w:w="6577"/>
      </w:tblGrid>
      <w:tr>
        <w:tblPrEx/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Кнопка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2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Название операции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2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операции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7" name="_x0000_i107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16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Добавить новую строку</w:t>
            </w:r>
            <w:r/>
          </w:p>
        </w:tc>
        <w:tc>
          <w:tcPr>
            <w:shd w:val="clear" w:color="auto" w:fill="auto"/>
            <w:tcW w:w="33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форма для создания новой записи. После заполнения полей формы и сохранения в список добавляется новая стр</w:t>
            </w:r>
            <w:r>
              <w:t xml:space="preserve">о</w:t>
            </w:r>
            <w:r>
              <w:t xml:space="preserve">ка.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8" name="_x0000_i107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16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Копирование з</w:t>
            </w:r>
            <w:r>
              <w:t xml:space="preserve">а</w:t>
            </w:r>
            <w:r>
              <w:t xml:space="preserve">писи</w:t>
            </w:r>
            <w:r/>
          </w:p>
        </w:tc>
        <w:tc>
          <w:tcPr>
            <w:shd w:val="clear" w:color="auto" w:fill="auto"/>
            <w:tcW w:w="33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списке отобразится новая запись с атрибутами скопирова</w:t>
            </w:r>
            <w:r>
              <w:t xml:space="preserve">н</w:t>
            </w:r>
            <w:r>
              <w:t xml:space="preserve">ной записи.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49" name="_x0000_i107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162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226" w:name="_Toc225934565"/>
            <w:r>
              <w:t xml:space="preserve">Просмотр / Редакт</w:t>
            </w:r>
            <w:r>
              <w:t xml:space="preserve">и</w:t>
            </w:r>
            <w:r>
              <w:t xml:space="preserve">рование</w:t>
            </w:r>
            <w:bookmarkEnd w:id="226"/>
            <w:r/>
            <w:r/>
          </w:p>
        </w:tc>
        <w:tc>
          <w:tcPr>
            <w:shd w:val="clear" w:color="auto" w:fill="auto"/>
            <w:tcW w:w="33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форма «Редактирование записи», состав полей кот</w:t>
            </w:r>
            <w:r>
              <w:t xml:space="preserve">о</w:t>
            </w:r>
            <w:r>
              <w:t xml:space="preserve">рой аналогичен форме «Добавление записи». В форме следует о</w:t>
            </w:r>
            <w:r>
              <w:t xml:space="preserve">т</w:t>
            </w:r>
            <w:r>
              <w:t xml:space="preserve">редактировать требуемые поля и нажать на кнопку «ОК». Если запись недоступна для редактирования, то она открывается только на пр</w:t>
            </w:r>
            <w:r>
              <w:t xml:space="preserve">о</w:t>
            </w:r>
            <w:r>
              <w:t xml:space="preserve">смотр.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50" name="_x0000_i107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162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227" w:name="_Toc225934566"/>
            <w:r>
              <w:t xml:space="preserve">Удаление записи</w:t>
            </w:r>
            <w:bookmarkEnd w:id="227"/>
            <w:r/>
            <w:r/>
          </w:p>
        </w:tc>
        <w:tc>
          <w:tcPr>
            <w:shd w:val="clear" w:color="auto" w:fill="auto"/>
            <w:tcW w:w="33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окно запроса на подтверждение операции удал</w:t>
            </w:r>
            <w:r>
              <w:t xml:space="preserve">е</w:t>
            </w:r>
            <w:r>
              <w:t xml:space="preserve">ния, в котором следует нажать на кнопку «Да».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51" name="_x0000_i107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162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228" w:name="_Toc225934567"/>
            <w:r>
              <w:t xml:space="preserve">Настройка</w:t>
            </w:r>
            <w:bookmarkEnd w:id="228"/>
            <w:r/>
            <w:r/>
          </w:p>
        </w:tc>
        <w:tc>
          <w:tcPr>
            <w:shd w:val="clear" w:color="auto" w:fill="auto"/>
            <w:tcW w:w="33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окно «Настройка колонок» следует установить фл</w:t>
            </w:r>
            <w:r>
              <w:t xml:space="preserve">а</w:t>
            </w:r>
            <w:r>
              <w:t xml:space="preserve">ги в полях «Включить» напротив названий колонок для просмо</w:t>
            </w:r>
            <w:r>
              <w:t xml:space="preserve">т</w:t>
            </w:r>
            <w:r>
              <w:t xml:space="preserve">ра.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52" name="_x0000_i107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162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229" w:name="_Toc225934568"/>
            <w:r>
              <w:t xml:space="preserve">Поиск записей</w:t>
            </w:r>
            <w:bookmarkEnd w:id="229"/>
            <w:r/>
            <w:r/>
          </w:p>
        </w:tc>
        <w:tc>
          <w:tcPr>
            <w:shd w:val="clear" w:color="auto" w:fill="auto"/>
            <w:tcW w:w="33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Открывается окно «Поиск», в котором следует:</w:t>
            </w:r>
            <w:r/>
          </w:p>
          <w:p>
            <w:pPr>
              <w:pStyle w:val="971"/>
            </w:pPr>
            <w:r>
              <w:t xml:space="preserve">ввести в поле «Найти» строку символов;</w:t>
            </w:r>
            <w:r/>
          </w:p>
          <w:p>
            <w:pPr>
              <w:pStyle w:val="971"/>
            </w:pPr>
            <w:r>
              <w:t xml:space="preserve">в поле «Колонка» выбрать из раскрывающегося списка н</w:t>
            </w:r>
            <w:r>
              <w:t xml:space="preserve">а</w:t>
            </w:r>
            <w:r>
              <w:t xml:space="preserve">именование поля, по которому будет пр</w:t>
            </w:r>
            <w:r>
              <w:t xml:space="preserve">о</w:t>
            </w:r>
            <w:r>
              <w:t xml:space="preserve">изводиться поиск;</w:t>
            </w:r>
            <w:r/>
          </w:p>
          <w:p>
            <w:pPr>
              <w:pStyle w:val="971"/>
            </w:pPr>
            <w:r>
              <w:t xml:space="preserve">установить флаг переключателя «Совпадение с л</w:t>
            </w:r>
            <w:r>
              <w:t xml:space="preserve">ю</w:t>
            </w:r>
            <w:r>
              <w:t xml:space="preserve">бой частью поля» и/или «С начала» для определения способа поиска з</w:t>
            </w:r>
            <w:r>
              <w:t xml:space="preserve">а</w:t>
            </w:r>
            <w:r>
              <w:t xml:space="preserve">данной строки символов в п</w:t>
            </w:r>
            <w:r>
              <w:t xml:space="preserve">о</w:t>
            </w:r>
            <w:r>
              <w:t xml:space="preserve">ле;</w:t>
            </w:r>
            <w:r/>
          </w:p>
          <w:p>
            <w:pPr>
              <w:pStyle w:val="971"/>
            </w:pPr>
            <w:r>
              <w:t xml:space="preserve">нажать на кнопку «Найти».</w:t>
            </w:r>
            <w:r/>
          </w:p>
          <w:p>
            <w:pPr>
              <w:pStyle w:val="969"/>
              <w:ind w:left="57" w:right="57"/>
            </w:pPr>
            <w:r>
              <w:t xml:space="preserve">Если запись с заданными параметрами будет найдена, то она б</w:t>
            </w:r>
            <w:r>
              <w:t xml:space="preserve">у</w:t>
            </w:r>
            <w:r>
              <w:t xml:space="preserve">дет выделена цветом. Для поиска следующей записи с заданн</w:t>
            </w:r>
            <w:r>
              <w:t xml:space="preserve">ы</w:t>
            </w:r>
            <w:r>
              <w:t xml:space="preserve">ми параметрами следует нажать на кнопку «Найти далее». Для з</w:t>
            </w:r>
            <w:r>
              <w:t xml:space="preserve">а</w:t>
            </w:r>
            <w:r>
              <w:t xml:space="preserve">крытия формы «Поиск» следует нажать на кнопку «О</w:t>
            </w:r>
            <w:r>
              <w:t xml:space="preserve">т</w:t>
            </w:r>
            <w:r>
              <w:t xml:space="preserve">мена».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53" name="_x0000_i107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16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Применить фильтр</w:t>
            </w:r>
            <w:r/>
          </w:p>
        </w:tc>
        <w:tc>
          <w:tcPr>
            <w:shd w:val="clear" w:color="auto" w:fill="auto"/>
            <w:tcW w:w="33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Включается фильтр по значениям, указанным в пустых полях, расположенных над названиями столбцов списка.</w:t>
            </w:r>
            <w:r/>
          </w:p>
        </w:tc>
      </w:tr>
      <w:tr>
        <w:tblPrEx/>
        <w:trPr/>
        <w:tc>
          <w:tcPr>
            <w:shd w:val="clear" w:color="auto" w:fill="auto"/>
            <w:tcW w:w="466" w:type="pct"/>
            <w:textDirection w:val="lrTb"/>
            <w:noWrap w:val="false"/>
          </w:tcPr>
          <w:p>
            <w:pPr>
              <w:pStyle w:val="969"/>
              <w:ind w:left="57" w:right="57"/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61950" cy="361950"/>
                      <wp:effectExtent l="0" t="0" r="0" b="0"/>
                      <wp:docPr id="54" name="_x0000_i107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619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beve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width:28.50pt;height:28.50pt;mso-wrap-distance-left:0.00pt;mso-wrap-distance-top:0.00pt;mso-wrap-distance-right:0.00pt;mso-wrap-distance-bottom:0.00pt;" stroked="f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116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Сбросить фильтр</w:t>
            </w:r>
            <w:r/>
          </w:p>
        </w:tc>
        <w:tc>
          <w:tcPr>
            <w:shd w:val="clear" w:color="auto" w:fill="auto"/>
            <w:tcW w:w="33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Сброс фильтра.</w:t>
            </w:r>
            <w:r/>
          </w:p>
        </w:tc>
      </w:tr>
    </w:tbl>
    <w:p>
      <w:pPr>
        <w:pStyle w:val="936"/>
      </w:pPr>
      <w:r/>
      <w:bookmarkStart w:id="230" w:name="_Toc383088846"/>
      <w:r/>
      <w:bookmarkStart w:id="231" w:name="_Toc401059284"/>
      <w:r/>
      <w:bookmarkStart w:id="232" w:name="_Toc146034924"/>
      <w:r/>
      <w:bookmarkEnd w:id="223"/>
      <w:r>
        <w:t xml:space="preserve">Контекстное меню</w:t>
      </w:r>
      <w:bookmarkEnd w:id="230"/>
      <w:r/>
      <w:bookmarkEnd w:id="231"/>
      <w:r/>
      <w:bookmarkEnd w:id="232"/>
      <w:r/>
      <w:r/>
    </w:p>
    <w:p>
      <w:pPr>
        <w:pStyle w:val="958"/>
      </w:pPr>
      <w:r>
        <w:t xml:space="preserve">Помимо перечисленных выше </w:t>
      </w:r>
      <w:r>
        <w:t xml:space="preserve">описанных</w:t>
      </w:r>
      <w:r>
        <w:t xml:space="preserve"> </w:t>
      </w:r>
      <w:r>
        <w:t xml:space="preserve">инструментальных панелей</w:t>
      </w:r>
      <w:r>
        <w:t xml:space="preserve">, при работе с программой, для выполнения типовых операций над документами и справочниками, также использ</w:t>
      </w:r>
      <w:r>
        <w:t xml:space="preserve">у</w:t>
      </w:r>
      <w:r>
        <w:t xml:space="preserve">ется контекстное меню. Контекстным, меню называется потому, что набор команд, вход</w:t>
      </w:r>
      <w:r>
        <w:t xml:space="preserve">я</w:t>
      </w:r>
      <w:r>
        <w:t xml:space="preserve">щих в его состав может меняться, в зависимости от того, где это меню вызывается, т.е. зависит от конте</w:t>
      </w:r>
      <w:r>
        <w:t xml:space="preserve">к</w:t>
      </w:r>
      <w:r>
        <w:t xml:space="preserve">ста. </w:t>
      </w:r>
      <w:r/>
    </w:p>
    <w:p>
      <w:pPr>
        <w:pStyle w:val="958"/>
      </w:pPr>
      <w:r>
        <w:t xml:space="preserve">Для вызова контекстного меню необходимо выполнить следующие действия: поме</w:t>
      </w:r>
      <w:r>
        <w:t xml:space="preserve">с</w:t>
      </w:r>
      <w:r>
        <w:t xml:space="preserve">тить указатель мыши на объект (например, на документ в списке документов) и сделать ще</w:t>
      </w:r>
      <w:r>
        <w:t xml:space="preserve">л</w:t>
      </w:r>
      <w:r>
        <w:t xml:space="preserve">чок правой клавишей мыши. </w:t>
      </w:r>
      <w:r>
        <w:t xml:space="preserve">В результате н</w:t>
      </w:r>
      <w:r>
        <w:t xml:space="preserve">а экране откроется </w:t>
      </w:r>
      <w:r>
        <w:t xml:space="preserve">контекстное </w:t>
      </w:r>
      <w:r>
        <w:t xml:space="preserve">меню.</w:t>
      </w:r>
      <w:r/>
    </w:p>
    <w:p>
      <w:pPr>
        <w:pStyle w:val="936"/>
      </w:pPr>
      <w:r/>
      <w:bookmarkStart w:id="233" w:name="_Toc383088847"/>
      <w:r/>
      <w:bookmarkStart w:id="234" w:name="_Toc401059285"/>
      <w:r/>
      <w:bookmarkStart w:id="235" w:name="_Toc146034925"/>
      <w:r>
        <w:t xml:space="preserve">Панели сортировки и фильтров</w:t>
      </w:r>
      <w:bookmarkEnd w:id="233"/>
      <w:r/>
      <w:bookmarkEnd w:id="234"/>
      <w:r/>
      <w:bookmarkEnd w:id="235"/>
      <w:r/>
      <w:r/>
    </w:p>
    <w:p>
      <w:pPr>
        <w:pStyle w:val="958"/>
      </w:pPr>
      <w:r>
        <w:t xml:space="preserve">П</w:t>
      </w:r>
      <w:r>
        <w:t xml:space="preserve">анели сортировки и фильтров (</w:t>
      </w:r>
      <w:r>
        <w:t xml:space="preserve">рис. </w:t>
      </w:r>
      <w:r>
        <w:fldChar w:fldCharType="begin"/>
      </w:r>
      <w:r>
        <w:instrText xml:space="preserve"> REF _Ref381285131 \h </w:instrText>
      </w:r>
      <w:r>
        <w:instrText xml:space="preserve"> \* MERGEFORMAT </w:instrText>
      </w:r>
      <w:r>
        <w:fldChar w:fldCharType="separate"/>
      </w:r>
      <w:r>
        <w:t xml:space="preserve">6</w:t>
      </w:r>
      <w:r>
        <w:fldChar w:fldCharType="end"/>
      </w:r>
      <w:r>
        <w:t xml:space="preserve">)</w:t>
      </w:r>
      <w:r>
        <w:t xml:space="preserve"> предназначены для быстрого поиска нужных документов </w:t>
      </w:r>
      <w:r>
        <w:t xml:space="preserve">в списке </w:t>
      </w:r>
      <w:r>
        <w:t xml:space="preserve">и их сортировки.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838450"/>
                <wp:effectExtent l="0" t="0" r="0" b="0"/>
                <wp:docPr id="55" name="_x0000_i107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6124575" cy="283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482.25pt;height:223.50pt;mso-wrap-distance-left:0.00pt;mso-wrap-distance-top:0.00pt;mso-wrap-distance-right:0.00pt;mso-wrap-distance-bottom:0.00pt;" stroked="f">
                <v:path textboxrect="0,0,0,0"/>
                <v:imagedata r:id="rId65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36" w:name="_Ref381285131"/>
      <w:r/>
      <w:bookmarkStart w:id="237" w:name="_Toc146034966"/>
      <w:r>
        <w:t xml:space="preserve">6</w:t>
      </w:r>
      <w:bookmarkEnd w:id="236"/>
      <w:r>
        <w:fldChar w:fldCharType="end"/>
      </w:r>
      <w:r>
        <w:t xml:space="preserve">. Панели сортировки и фильтров</w:t>
      </w:r>
      <w:bookmarkEnd w:id="237"/>
      <w:r/>
      <w:r/>
    </w:p>
    <w:p>
      <w:pPr>
        <w:pStyle w:val="937"/>
      </w:pPr>
      <w:r/>
      <w:bookmarkStart w:id="238" w:name="_Toc383088848"/>
      <w:r>
        <w:t xml:space="preserve">Сортировка документов</w:t>
      </w:r>
      <w:bookmarkEnd w:id="238"/>
      <w:r/>
      <w:r/>
    </w:p>
    <w:p>
      <w:pPr>
        <w:pStyle w:val="958"/>
      </w:pPr>
      <w:r>
        <w:t xml:space="preserve">Панель сортировки (рис.</w:t>
      </w:r>
      <w:r>
        <w:t xml:space="preserve"> </w:t>
      </w:r>
      <w:r>
        <w:fldChar w:fldCharType="begin"/>
      </w:r>
      <w:r>
        <w:instrText xml:space="preserve"> REF _Ref325535177 \h </w:instrText>
      </w:r>
      <w:r>
        <w:fldChar w:fldCharType="separate"/>
      </w:r>
      <w:r>
        <w:t xml:space="preserve">7</w:t>
      </w:r>
      <w:r>
        <w:fldChar w:fldCharType="end"/>
      </w:r>
      <w:r>
        <w:t xml:space="preserve">) предназначена для сортировки записей списка докуме</w:t>
      </w:r>
      <w:r>
        <w:t xml:space="preserve">н</w:t>
      </w:r>
      <w:r>
        <w:t xml:space="preserve">тов (записей справочников) по выбранному признаку.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43350" cy="361950"/>
                <wp:effectExtent l="0" t="0" r="0" b="0"/>
                <wp:docPr id="56" name="_x0000_i108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39433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310.50pt;height:28.50pt;mso-wrap-distance-left:0.00pt;mso-wrap-distance-top:0.00pt;mso-wrap-distance-right:0.00pt;mso-wrap-distance-bottom:0.00pt;" stroked="f">
                <v:path textboxrect="0,0,0,0"/>
                <v:imagedata r:id="rId66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39" w:name="_Ref325535177"/>
      <w:r/>
      <w:bookmarkStart w:id="240" w:name="_Toc146034967"/>
      <w:r>
        <w:t xml:space="preserve">7</w:t>
      </w:r>
      <w:bookmarkEnd w:id="239"/>
      <w:r>
        <w:fldChar w:fldCharType="end"/>
      </w:r>
      <w:r>
        <w:t xml:space="preserve">. Панель сортировки</w:t>
      </w:r>
      <w:bookmarkEnd w:id="240"/>
      <w:r/>
      <w:r/>
    </w:p>
    <w:p>
      <w:pPr>
        <w:pStyle w:val="937"/>
      </w:pPr>
      <w:r/>
      <w:bookmarkStart w:id="241" w:name="_Toc383088849"/>
      <w:r>
        <w:t xml:space="preserve">Использование фильтров</w:t>
      </w:r>
      <w:bookmarkEnd w:id="241"/>
      <w:r/>
      <w:r/>
    </w:p>
    <w:p>
      <w:pPr>
        <w:pStyle w:val="958"/>
      </w:pPr>
      <w:r>
        <w:t xml:space="preserve">Панель фильтров (рис. </w:t>
      </w:r>
      <w:r>
        <w:fldChar w:fldCharType="begin"/>
      </w:r>
      <w:r>
        <w:instrText xml:space="preserve"> REF _Ref204398205 \h  \* MERGEFORMAT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 предназначена для отбора записей в списке документов (справочника) по заданным параметрам.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28950" cy="285750"/>
                <wp:effectExtent l="0" t="0" r="0" b="0"/>
                <wp:docPr id="57" name="_x0000_i108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30289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238.50pt;height:22.50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42" w:name="_Ref204398205"/>
      <w:r/>
      <w:bookmarkStart w:id="243" w:name="_Toc146034968"/>
      <w:r>
        <w:t xml:space="preserve">8</w:t>
      </w:r>
      <w:bookmarkEnd w:id="242"/>
      <w:r>
        <w:fldChar w:fldCharType="end"/>
      </w:r>
      <w:r>
        <w:t xml:space="preserve">. Панель фильтров</w:t>
      </w:r>
      <w:bookmarkEnd w:id="243"/>
      <w:r/>
      <w:r/>
    </w:p>
    <w:p>
      <w:pPr>
        <w:pStyle w:val="936"/>
      </w:pPr>
      <w:r/>
      <w:bookmarkStart w:id="244" w:name="_Ref357012118"/>
      <w:r/>
      <w:bookmarkStart w:id="245" w:name="_Toc383088851"/>
      <w:r/>
      <w:bookmarkStart w:id="246" w:name="_Toc401059286"/>
      <w:r/>
      <w:bookmarkStart w:id="247" w:name="_Toc146034926"/>
      <w:r>
        <w:t xml:space="preserve">П</w:t>
      </w:r>
      <w:r>
        <w:t xml:space="preserve">еремещени</w:t>
      </w:r>
      <w:r>
        <w:t xml:space="preserve">е</w:t>
      </w:r>
      <w:r>
        <w:t xml:space="preserve"> по списку документов</w:t>
      </w:r>
      <w:bookmarkEnd w:id="244"/>
      <w:r/>
      <w:bookmarkEnd w:id="245"/>
      <w:r/>
      <w:bookmarkEnd w:id="246"/>
      <w:r/>
      <w:bookmarkEnd w:id="247"/>
      <w:r/>
      <w:r/>
    </w:p>
    <w:p>
      <w:pPr>
        <w:pStyle w:val="958"/>
      </w:pPr>
      <w:r>
        <w:t xml:space="preserve">Список документов, отображаемый в окне программы, организован в виде журнала, с</w:t>
      </w:r>
      <w:r>
        <w:t xml:space="preserve">о</w:t>
      </w:r>
      <w:r>
        <w:t xml:space="preserve">стоящего из некоторого количества страниц. Количество записей на одной странице зависит от настроек программы. На панели перемещения по списку документов располагаются кно</w:t>
      </w:r>
      <w:r>
        <w:t xml:space="preserve">п</w:t>
      </w:r>
      <w:r>
        <w:t xml:space="preserve">ки, позволяющие перелистывать список документов, а также отображается общее</w:t>
      </w:r>
      <w:r>
        <w:t xml:space="preserve"> </w:t>
      </w:r>
      <w:r>
        <w:t xml:space="preserve">кол</w:t>
      </w:r>
      <w:r>
        <w:t xml:space="preserve">и</w:t>
      </w:r>
      <w:r>
        <w:t xml:space="preserve">чество ли</w:t>
      </w:r>
      <w:r>
        <w:t xml:space="preserve">с</w:t>
      </w:r>
      <w:r>
        <w:t xml:space="preserve">тов в списке (рис. </w:t>
      </w:r>
      <w:r>
        <w:fldChar w:fldCharType="begin"/>
      </w:r>
      <w:r>
        <w:instrText xml:space="preserve"> REF _Ref325550209 \h </w:instrText>
      </w:r>
      <w:r>
        <w:fldChar w:fldCharType="separate"/>
      </w:r>
      <w:r>
        <w:t xml:space="preserve">9</w:t>
      </w:r>
      <w:r>
        <w:fldChar w:fldCharType="end"/>
      </w:r>
      <w:r>
        <w:t xml:space="preserve">).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9825" cy="2743200"/>
                <wp:effectExtent l="0" t="0" r="0" b="0"/>
                <wp:docPr id="58" name="_x0000_i10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6219825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89.75pt;height:216.00pt;mso-wrap-distance-left:0.00pt;mso-wrap-distance-top:0.00pt;mso-wrap-distance-right:0.00pt;mso-wrap-distance-bottom:0.00pt;" stroked="f">
                <v:path textboxrect="0,0,0,0"/>
                <v:imagedata r:id="rId68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48" w:name="_Ref325550209"/>
      <w:r/>
      <w:bookmarkStart w:id="249" w:name="_Toc146034969"/>
      <w:r>
        <w:t xml:space="preserve">9</w:t>
      </w:r>
      <w:bookmarkEnd w:id="248"/>
      <w:r>
        <w:fldChar w:fldCharType="end"/>
      </w:r>
      <w:r>
        <w:t xml:space="preserve">. Панель перемещения по списку документов</w:t>
      </w:r>
      <w:r>
        <w:t xml:space="preserve">. </w:t>
      </w:r>
      <w:r>
        <w:t xml:space="preserve">Отображается первая из пяти страниц журнала документов</w:t>
      </w:r>
      <w:bookmarkEnd w:id="249"/>
      <w:r/>
      <w:r/>
    </w:p>
    <w:p>
      <w:pPr>
        <w:pStyle w:val="958"/>
      </w:pPr>
      <w:r>
        <w:t xml:space="preserve">Назначение кнопок:</w:t>
      </w:r>
      <w:r/>
    </w:p>
    <w:p>
      <w:pPr>
        <w:pStyle w:val="949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85750"/>
                <wp:effectExtent l="0" t="0" r="0" b="0"/>
                <wp:docPr id="59" name="_x0000_i10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69"/>
                        <a:srcRect l="0" t="-18899" r="0" b="0"/>
                        <a:stretch/>
                      </pic:blipFill>
                      <pic:spPr bwMode="auto">
                        <a:xfrm>
                          <a:off x="0" y="0"/>
                          <a:ext cx="1809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14.25pt;height:22.50pt;mso-wrap-distance-left:0.00pt;mso-wrap-distance-top:0.00pt;mso-wrap-distance-right:0.00pt;mso-wrap-distance-bottom:0.00pt;" stroked="f">
                <v:path textboxrect="0,0,0,0"/>
                <v:imagedata r:id="rId69" o:title=""/>
              </v:shape>
            </w:pict>
          </mc:Fallback>
        </mc:AlternateContent>
      </w:r>
      <w:r>
        <w:t xml:space="preserve"> – кнопка перехода на одну страницу вперед</w:t>
      </w:r>
      <w:r>
        <w:t xml:space="preserve">;</w:t>
      </w:r>
      <w:r/>
    </w:p>
    <w:p>
      <w:pPr>
        <w:pStyle w:val="949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85750"/>
                <wp:effectExtent l="0" t="0" r="0" b="0"/>
                <wp:docPr id="60" name="_x0000_i108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0"/>
                        <a:srcRect l="0" t="-18899" r="0" b="0"/>
                        <a:stretch/>
                      </pic:blipFill>
                      <pic:spPr bwMode="auto">
                        <a:xfrm>
                          <a:off x="0" y="0"/>
                          <a:ext cx="1809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14.25pt;height:22.50pt;mso-wrap-distance-left:0.00pt;mso-wrap-distance-top:0.00pt;mso-wrap-distance-right:0.00pt;mso-wrap-distance-bottom:0.00pt;" stroked="f">
                <v:path textboxrect="0,0,0,0"/>
                <v:imagedata r:id="rId70" o:title=""/>
              </v:shape>
            </w:pict>
          </mc:Fallback>
        </mc:AlternateContent>
      </w:r>
      <w:r>
        <w:t xml:space="preserve"> – кнопка перехода на одну страницу назад</w:t>
      </w:r>
      <w:r>
        <w:t xml:space="preserve">;</w:t>
      </w:r>
      <w:r/>
    </w:p>
    <w:p>
      <w:pPr>
        <w:pStyle w:val="949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85750"/>
                <wp:effectExtent l="0" t="0" r="0" b="0"/>
                <wp:docPr id="61" name="_x0000_i10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1"/>
                        <a:srcRect l="0" t="-18899" r="0" b="0"/>
                        <a:stretch/>
                      </pic:blipFill>
                      <pic:spPr bwMode="auto">
                        <a:xfrm>
                          <a:off x="0" y="0"/>
                          <a:ext cx="1809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14.25pt;height:22.50pt;mso-wrap-distance-left:0.00pt;mso-wrap-distance-top:0.00pt;mso-wrap-distance-right:0.00pt;mso-wrap-distance-bottom:0.00pt;" stroked="f">
                <v:path textboxrect="0,0,0,0"/>
                <v:imagedata r:id="rId71" o:title=""/>
              </v:shape>
            </w:pict>
          </mc:Fallback>
        </mc:AlternateContent>
      </w:r>
      <w:r>
        <w:t xml:space="preserve"> – кнопка перехода на первую страницу списка</w:t>
      </w:r>
      <w:r>
        <w:t xml:space="preserve">;</w:t>
      </w:r>
      <w:r>
        <w:t xml:space="preserve"> </w:t>
      </w:r>
      <w:r/>
    </w:p>
    <w:p>
      <w:pPr>
        <w:pStyle w:val="949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85750"/>
                <wp:effectExtent l="0" t="0" r="0" b="0"/>
                <wp:docPr id="62" name="_x0000_i108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2"/>
                        <a:srcRect l="0" t="-18899" r="0" b="0"/>
                        <a:stretch/>
                      </pic:blipFill>
                      <pic:spPr bwMode="auto">
                        <a:xfrm>
                          <a:off x="0" y="0"/>
                          <a:ext cx="18097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14.25pt;height:22.50pt;mso-wrap-distance-left:0.00pt;mso-wrap-distance-top:0.00pt;mso-wrap-distance-right:0.00pt;mso-wrap-distance-bottom:0.00pt;" stroked="f">
                <v:path textboxrect="0,0,0,0"/>
                <v:imagedata r:id="rId72" o:title=""/>
              </v:shape>
            </w:pict>
          </mc:Fallback>
        </mc:AlternateContent>
      </w:r>
      <w:r>
        <w:t xml:space="preserve"> – кнопка перехода на последнюю страницу списка</w:t>
      </w:r>
      <w:r>
        <w:t xml:space="preserve">.</w:t>
      </w:r>
      <w:r>
        <w:t xml:space="preserve"> </w:t>
      </w:r>
      <w:r/>
    </w:p>
    <w:p>
      <w:pPr>
        <w:pStyle w:val="958"/>
      </w:pPr>
      <w:r>
        <w:t xml:space="preserve">При нажатии кнопки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276225"/>
                <wp:effectExtent l="0" t="0" r="0" b="0"/>
                <wp:docPr id="63" name="_x0000_i10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3"/>
                        <a:srcRect l="0" t="-17180" r="0" b="0"/>
                        <a:stretch/>
                      </pic:blipFill>
                      <pic:spPr bwMode="auto">
                        <a:xfrm>
                          <a:off x="0" y="0"/>
                          <a:ext cx="1809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14.25pt;height:21.75pt;mso-wrap-distance-left:0.00pt;mso-wrap-distance-top:0.00pt;mso-wrap-distance-right:0.00pt;mso-wrap-distance-bottom:0.00pt;" stroked="f">
                <v:path textboxrect="0,0,0,0"/>
                <v:imagedata r:id="rId73" o:title=""/>
              </v:shape>
            </w:pict>
          </mc:Fallback>
        </mc:AlternateContent>
      </w:r>
      <w:r>
        <w:t xml:space="preserve">, </w:t>
      </w:r>
      <w:r>
        <w:t xml:space="preserve">на экран будут выводиться только выделенные ранее док</w:t>
      </w:r>
      <w:r>
        <w:t xml:space="preserve">у</w:t>
      </w:r>
      <w:r>
        <w:t xml:space="preserve">менты. Повторное нажатие кнопки вернет сп</w:t>
      </w:r>
      <w:r>
        <w:t xml:space="preserve">и</w:t>
      </w:r>
      <w:r>
        <w:t xml:space="preserve">сок всех документов на экран.</w:t>
      </w:r>
      <w:r/>
    </w:p>
    <w:p>
      <w:pPr>
        <w:pStyle w:val="936"/>
      </w:pPr>
      <w:r/>
      <w:bookmarkStart w:id="250" w:name="_Toc383088852"/>
      <w:r/>
      <w:bookmarkStart w:id="251" w:name="_Toc401059287"/>
      <w:r/>
      <w:bookmarkStart w:id="252" w:name="_Toc146034927"/>
      <w:r>
        <w:t xml:space="preserve">Выделение документов в списке</w:t>
      </w:r>
      <w:bookmarkEnd w:id="250"/>
      <w:r/>
      <w:bookmarkEnd w:id="251"/>
      <w:r/>
      <w:bookmarkEnd w:id="252"/>
      <w:r/>
      <w:r/>
    </w:p>
    <w:p>
      <w:pPr>
        <w:pStyle w:val="958"/>
      </w:pPr>
      <w:r>
        <w:t xml:space="preserve">Для выделения документов в списке документов используют стандартные для ОС </w:t>
      </w:r>
      <w:r>
        <w:t xml:space="preserve">Windows</w:t>
      </w:r>
      <w:r>
        <w:t xml:space="preserve"> действия.</w:t>
      </w:r>
      <w:r/>
    </w:p>
    <w:p>
      <w:pPr>
        <w:pStyle w:val="958"/>
      </w:pPr>
      <w:r>
        <w:t xml:space="preserve">Чтобы выделить несколько подряд идущих в списке документов, необходимо выпо</w:t>
      </w:r>
      <w:r>
        <w:t xml:space="preserve">л</w:t>
      </w:r>
      <w:r>
        <w:t xml:space="preserve">нить один щелчок левой клавишей мышки по первому выделяемому документу. Затем, н</w:t>
      </w:r>
      <w:r>
        <w:t xml:space="preserve">а</w:t>
      </w:r>
      <w:r>
        <w:t xml:space="preserve">жав клавишу «</w:t>
      </w:r>
      <w:r>
        <w:t xml:space="preserve">Shift</w:t>
      </w:r>
      <w:r>
        <w:t xml:space="preserve">», выполнить один щелчок левой клавишей мышки по последнему выд</w:t>
      </w:r>
      <w:r>
        <w:t xml:space="preserve">е</w:t>
      </w:r>
      <w:r>
        <w:t xml:space="preserve">ляемому док</w:t>
      </w:r>
      <w:r>
        <w:t xml:space="preserve">у</w:t>
      </w:r>
      <w:r>
        <w:t xml:space="preserve">менту. В результате выделятся все документы, с первого по последний.</w:t>
      </w:r>
      <w:r/>
    </w:p>
    <w:p>
      <w:pPr>
        <w:pStyle w:val="958"/>
      </w:pPr>
      <w:r>
        <w:t xml:space="preserve">Для того чтобы выделить документы расположенные в списке не подряд, необходимо нажать левую клавишу «</w:t>
      </w:r>
      <w:r>
        <w:t xml:space="preserve">Ctrl</w:t>
      </w:r>
      <w:r>
        <w:t xml:space="preserve">» и удерживая ее, выполнить щелчок левой клавишей мышки по каждому из выделяемых документов.</w:t>
      </w:r>
      <w:r/>
    </w:p>
    <w:p>
      <w:pPr>
        <w:pStyle w:val="936"/>
      </w:pPr>
      <w:r/>
      <w:bookmarkStart w:id="253" w:name="_Toc383088853"/>
      <w:r/>
      <w:bookmarkStart w:id="254" w:name="_Toc401059288"/>
      <w:r/>
      <w:bookmarkStart w:id="255" w:name="_Toc146034928"/>
      <w:r>
        <w:t xml:space="preserve">Отображение статистических данных</w:t>
      </w:r>
      <w:bookmarkEnd w:id="253"/>
      <w:r/>
      <w:bookmarkEnd w:id="254"/>
      <w:r/>
      <w:bookmarkEnd w:id="255"/>
      <w:r/>
      <w:r/>
    </w:p>
    <w:p>
      <w:pPr>
        <w:pStyle w:val="958"/>
      </w:pPr>
      <w:r>
        <w:t xml:space="preserve">Для некоторых типов документов предусмотрен вывод статистических данных. Стат</w:t>
      </w:r>
      <w:r>
        <w:t xml:space="preserve">и</w:t>
      </w:r>
      <w:r>
        <w:t xml:space="preserve">стические данные можно посмотреть для всех документов в списке или только для выделе</w:t>
      </w:r>
      <w:r>
        <w:t xml:space="preserve">н</w:t>
      </w:r>
      <w:r>
        <w:t xml:space="preserve">ных документов</w:t>
      </w:r>
      <w:r>
        <w:t xml:space="preserve">:</w:t>
      </w:r>
      <w:r/>
    </w:p>
    <w:p>
      <w:pPr>
        <w:pStyle w:val="1137"/>
        <w:numPr>
          <w:ilvl w:val="0"/>
          <w:numId w:val="43"/>
        </w:numPr>
      </w:pPr>
      <w:r>
        <w:t xml:space="preserve">Отображение данных во всплывающем окне.</w:t>
      </w:r>
      <w:r/>
    </w:p>
    <w:p>
      <w:pPr>
        <w:pStyle w:val="1137"/>
      </w:pPr>
      <w:r>
        <w:t xml:space="preserve">Отображение </w:t>
      </w:r>
      <w:r>
        <w:t xml:space="preserve">агрегированных показателей</w:t>
      </w:r>
      <w:r>
        <w:t xml:space="preserve"> </w:t>
      </w:r>
      <w:r>
        <w:t xml:space="preserve">по всем документам </w:t>
      </w:r>
      <w:r>
        <w:t xml:space="preserve">в строке состояния списка документов.</w:t>
      </w:r>
      <w:r/>
    </w:p>
    <w:p>
      <w:pPr>
        <w:pStyle w:val="1137"/>
      </w:pPr>
      <w:r>
        <w:t xml:space="preserve">Отображение обобщенных агрегированных показателей по документам.</w:t>
      </w:r>
      <w:r/>
    </w:p>
    <w:p>
      <w:pPr>
        <w:pStyle w:val="936"/>
      </w:pPr>
      <w:r/>
      <w:bookmarkStart w:id="256" w:name="_Toc383088854"/>
      <w:r/>
      <w:bookmarkStart w:id="257" w:name="_Toc401059289"/>
      <w:r/>
      <w:bookmarkStart w:id="258" w:name="_Toc146034929"/>
      <w:r>
        <w:t xml:space="preserve">Информационная панель</w:t>
      </w:r>
      <w:bookmarkEnd w:id="256"/>
      <w:r/>
      <w:bookmarkEnd w:id="257"/>
      <w:r/>
      <w:bookmarkEnd w:id="258"/>
      <w:r/>
      <w:r/>
    </w:p>
    <w:p>
      <w:pPr>
        <w:pStyle w:val="958"/>
      </w:pPr>
      <w:r>
        <w:t xml:space="preserve">Информационная панель служит для вывода на экран информации о выделенном в</w:t>
      </w:r>
      <w:r>
        <w:t xml:space="preserve"> списке</w:t>
      </w:r>
      <w:r>
        <w:t xml:space="preserve"> документе </w:t>
      </w:r>
      <w:r>
        <w:t xml:space="preserve">или </w:t>
      </w:r>
      <w:r>
        <w:t xml:space="preserve">записи справочника. Информационная панель может содержать н</w:t>
      </w:r>
      <w:r>
        <w:t xml:space="preserve">е</w:t>
      </w:r>
      <w:r>
        <w:t xml:space="preserve">сколько закладок, на которых отображаются некоторые характеристики выделенного объекта и дополнительная информация о нем. На рисунке</w:t>
      </w:r>
      <w:r>
        <w:t xml:space="preserve"> </w:t>
      </w:r>
      <w:r>
        <w:fldChar w:fldCharType="begin"/>
      </w:r>
      <w:r>
        <w:instrText xml:space="preserve"> REF _Ref220740048 \h  \* MERGEFORMAT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 показан пример содержания информ</w:t>
      </w:r>
      <w:r>
        <w:t xml:space="preserve">а</w:t>
      </w:r>
      <w:r>
        <w:t xml:space="preserve">ционной панели</w:t>
      </w:r>
      <w:r>
        <w:t xml:space="preserve"> для выделенного документа</w:t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19825" cy="2838450"/>
                <wp:effectExtent l="0" t="0" r="0" b="0"/>
                <wp:docPr id="64" name="_x0000_i108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6219825" cy="283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489.75pt;height:223.50pt;mso-wrap-distance-left:0.00pt;mso-wrap-distance-top:0.00pt;mso-wrap-distance-right:0.00pt;mso-wrap-distance-bottom:0.00pt;" stroked="f">
                <v:path textboxrect="0,0,0,0"/>
                <v:imagedata r:id="rId74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59" w:name="_Ref220740048"/>
      <w:r/>
      <w:bookmarkStart w:id="260" w:name="_Toc146034970"/>
      <w:r>
        <w:t xml:space="preserve">10</w:t>
      </w:r>
      <w:bookmarkEnd w:id="259"/>
      <w:r>
        <w:fldChar w:fldCharType="end"/>
      </w:r>
      <w:r>
        <w:t xml:space="preserve">. Информационная панель</w:t>
      </w:r>
      <w:bookmarkEnd w:id="260"/>
      <w:r/>
      <w:r/>
    </w:p>
    <w:p>
      <w:pPr>
        <w:pStyle w:val="958"/>
      </w:pPr>
      <w:r>
        <w:t xml:space="preserve">Типичный список закладок</w:t>
      </w:r>
      <w:r>
        <w:t xml:space="preserve"> информационной панели</w:t>
      </w:r>
      <w:r>
        <w:t xml:space="preserve">:</w:t>
      </w:r>
      <w:r/>
    </w:p>
    <w:p>
      <w:pPr>
        <w:pStyle w:val="950"/>
      </w:pPr>
      <w:r>
        <w:t xml:space="preserve">«Содержание»</w:t>
      </w:r>
      <w:r>
        <w:t xml:space="preserve"> (</w:t>
      </w:r>
      <w:r>
        <w:t xml:space="preserve">отобража</w:t>
      </w:r>
      <w:r>
        <w:t xml:space="preserve">е</w:t>
      </w:r>
      <w:r>
        <w:t xml:space="preserve">тся </w:t>
      </w:r>
      <w:r>
        <w:t xml:space="preserve">основное</w:t>
      </w:r>
      <w:r>
        <w:t xml:space="preserve"> </w:t>
      </w:r>
      <w:r>
        <w:t xml:space="preserve">содержание </w:t>
      </w:r>
      <w:r>
        <w:t xml:space="preserve">выделенно</w:t>
      </w:r>
      <w:r>
        <w:t xml:space="preserve">го </w:t>
      </w:r>
      <w:r>
        <w:t xml:space="preserve">до</w:t>
      </w:r>
      <w:r>
        <w:t xml:space="preserve">кумента)</w:t>
      </w:r>
      <w:r>
        <w:t xml:space="preserve">;</w:t>
      </w:r>
      <w:r/>
    </w:p>
    <w:p>
      <w:pPr>
        <w:pStyle w:val="950"/>
      </w:pPr>
      <w:r>
        <w:t xml:space="preserve">«Подписи»</w:t>
      </w:r>
      <w:r>
        <w:t xml:space="preserve"> (</w:t>
      </w:r>
      <w:r>
        <w:t xml:space="preserve">отображается информация о</w:t>
      </w:r>
      <w:r>
        <w:t xml:space="preserve">б</w:t>
      </w:r>
      <w:r>
        <w:t xml:space="preserve"> </w:t>
      </w:r>
      <w:r>
        <w:t xml:space="preserve">ЭП</w:t>
      </w:r>
      <w:r>
        <w:t xml:space="preserve">, есл</w:t>
      </w:r>
      <w:r>
        <w:t xml:space="preserve">и текущий документ был по</w:t>
      </w:r>
      <w:r>
        <w:t xml:space="preserve">д</w:t>
      </w:r>
      <w:r>
        <w:t xml:space="preserve">писан)</w:t>
      </w:r>
      <w:r>
        <w:t xml:space="preserve">;</w:t>
      </w:r>
      <w:r/>
    </w:p>
    <w:p>
      <w:pPr>
        <w:pStyle w:val="950"/>
      </w:pPr>
      <w:r>
        <w:t xml:space="preserve">«Атрибуты»</w:t>
      </w:r>
      <w:r>
        <w:t xml:space="preserve"> (</w:t>
      </w:r>
      <w:r>
        <w:t xml:space="preserve">отображается текущ</w:t>
      </w:r>
      <w:r>
        <w:t xml:space="preserve">ий</w:t>
      </w:r>
      <w:r>
        <w:t xml:space="preserve"> статус документа, а также дополнительная информация</w:t>
      </w:r>
      <w:r>
        <w:t xml:space="preserve">)</w:t>
      </w:r>
      <w:r>
        <w:t xml:space="preserve">;</w:t>
      </w:r>
      <w:r/>
    </w:p>
    <w:p>
      <w:pPr>
        <w:pStyle w:val="950"/>
      </w:pPr>
      <w:r>
        <w:t xml:space="preserve">«Транспортная история»</w:t>
      </w:r>
      <w:r>
        <w:t xml:space="preserve"> (</w:t>
      </w:r>
      <w:r>
        <w:t xml:space="preserve">отображается информация об отправке и/или получении документа на узлах приема/передачи, которые были зафиксированы транспор</w:t>
      </w:r>
      <w:r>
        <w:t xml:space="preserve">т</w:t>
      </w:r>
      <w:r>
        <w:t xml:space="preserve">ным модулем СУФД</w:t>
      </w:r>
      <w:r>
        <w:t xml:space="preserve">)</w:t>
      </w:r>
      <w:r>
        <w:t xml:space="preserve">.</w:t>
      </w:r>
      <w:r/>
    </w:p>
    <w:p>
      <w:pPr>
        <w:pStyle w:val="934"/>
      </w:pPr>
      <w:r/>
      <w:bookmarkStart w:id="261" w:name="_Toc401059290"/>
      <w:r/>
      <w:bookmarkStart w:id="262" w:name="_Ref422834888"/>
      <w:r/>
      <w:bookmarkStart w:id="263" w:name="_Toc146034930"/>
      <w:r/>
      <w:bookmarkEnd w:id="177"/>
      <w:r/>
      <w:bookmarkEnd w:id="178"/>
      <w:r/>
      <w:bookmarkEnd w:id="179"/>
      <w:r/>
      <w:bookmarkEnd w:id="180"/>
      <w:r>
        <w:t xml:space="preserve">Описание операций и экранных форм</w:t>
      </w:r>
      <w:bookmarkEnd w:id="101"/>
      <w:r/>
      <w:bookmarkEnd w:id="261"/>
      <w:r/>
      <w:bookmarkEnd w:id="262"/>
      <w:r/>
      <w:bookmarkEnd w:id="263"/>
      <w:r/>
      <w:r/>
    </w:p>
    <w:p>
      <w:pPr>
        <w:pStyle w:val="958"/>
      </w:pPr>
      <w:r>
        <w:t xml:space="preserve">Описание стандартных операций над документами (создание, импорт, редактирование, просмотр, документарный контроль, подписание, отправка) и порядка работы с исходящими и входящими документами приведено в </w:t>
      </w:r>
      <w:r>
        <w:t xml:space="preserve">обучающих материалах</w:t>
      </w:r>
      <w:r>
        <w:t xml:space="preserve"> «</w:t>
      </w:r>
      <w:r>
        <w:t xml:space="preserve">Основные принципы работы с ППО СУФД</w:t>
      </w:r>
      <w:r>
        <w:t xml:space="preserve">». В зависимости от типа документа набор доступных стандартных операций и порядок его обработки могут различаться.</w:t>
      </w:r>
      <w:r/>
    </w:p>
    <w:p>
      <w:pPr>
        <w:pStyle w:val="958"/>
      </w:pPr>
      <w:r>
        <w:t xml:space="preserve">Ниже представлены описания экранных форм </w:t>
      </w:r>
      <w:r>
        <w:t xml:space="preserve">электронных </w:t>
      </w:r>
      <w:r>
        <w:t xml:space="preserve">документов, используемых </w:t>
      </w:r>
      <w:r>
        <w:t xml:space="preserve">в</w:t>
      </w:r>
      <w:r>
        <w:t xml:space="preserve"> </w:t>
      </w:r>
      <w:r>
        <w:t xml:space="preserve">АРМ Разные участники ЭОД</w:t>
      </w:r>
      <w:r>
        <w:t xml:space="preserve">, и доступны</w:t>
      </w:r>
      <w:r>
        <w:t xml:space="preserve">е</w:t>
      </w:r>
      <w:r>
        <w:t xml:space="preserve"> операци</w:t>
      </w:r>
      <w:r>
        <w:t xml:space="preserve">и</w:t>
      </w:r>
      <w:r>
        <w:t xml:space="preserve"> над ними. Все экранные формы документов содержат</w:t>
      </w:r>
      <w:r>
        <w:t xml:space="preserve"> стандартные</w:t>
      </w:r>
      <w:r>
        <w:t xml:space="preserve"> закладки </w:t>
      </w:r>
      <w:r>
        <w:t xml:space="preserve">«</w:t>
      </w:r>
      <w:r>
        <w:t xml:space="preserve">Системные атрибуты</w:t>
      </w:r>
      <w:r>
        <w:t xml:space="preserve">» и</w:t>
      </w:r>
      <w:r>
        <w:t xml:space="preserve"> </w:t>
      </w:r>
      <w:r>
        <w:t xml:space="preserve">«</w:t>
      </w:r>
      <w:r>
        <w:t xml:space="preserve">Протоколы</w:t>
      </w:r>
      <w:r>
        <w:t xml:space="preserve">»</w:t>
      </w:r>
      <w:r>
        <w:t xml:space="preserve">, о</w:t>
      </w:r>
      <w:r>
        <w:t xml:space="preserve">писания которых приведены в </w:t>
      </w:r>
      <w:r>
        <w:t xml:space="preserve">обучающих материалах</w:t>
      </w:r>
      <w:r>
        <w:t xml:space="preserve"> </w:t>
      </w:r>
      <w:r>
        <w:t xml:space="preserve">«</w:t>
      </w:r>
      <w:r>
        <w:t xml:space="preserve">Основные принципы работы с ППО СУФД</w:t>
      </w:r>
      <w:r>
        <w:t xml:space="preserve">»</w:t>
      </w:r>
      <w:r>
        <w:t xml:space="preserve">, поэтому в данном </w:t>
      </w:r>
      <w:r>
        <w:t xml:space="preserve">документе</w:t>
      </w:r>
      <w:r>
        <w:t xml:space="preserve"> </w:t>
      </w:r>
      <w:r>
        <w:t xml:space="preserve">рассматриваются</w:t>
      </w:r>
      <w:r>
        <w:t xml:space="preserve"> только </w:t>
      </w:r>
      <w:r>
        <w:t xml:space="preserve">оригинальные</w:t>
      </w:r>
      <w:r>
        <w:t xml:space="preserve"> закладки, которые содержат</w:t>
      </w:r>
      <w:r>
        <w:t xml:space="preserve">ся</w:t>
      </w:r>
      <w:r>
        <w:t xml:space="preserve"> </w:t>
      </w:r>
      <w:r>
        <w:t xml:space="preserve">в описываемых экранных формах</w:t>
      </w:r>
      <w:r>
        <w:t xml:space="preserve">.</w:t>
      </w:r>
      <w:r/>
    </w:p>
    <w:p>
      <w:pPr>
        <w:pStyle w:val="935"/>
      </w:pPr>
      <w:r/>
      <w:bookmarkStart w:id="264" w:name="_Toc409449247"/>
      <w:r/>
      <w:bookmarkStart w:id="265" w:name="_Toc421171959"/>
      <w:r/>
      <w:bookmarkStart w:id="266" w:name="_Toc433824918"/>
      <w:r/>
      <w:bookmarkStart w:id="267" w:name="_Toc480755705"/>
      <w:r/>
      <w:bookmarkStart w:id="268" w:name="_Toc146034931"/>
      <w:r/>
      <w:bookmarkStart w:id="269" w:name="_Toc451959568"/>
      <w:r>
        <w:t xml:space="preserve">Группа документов «Неисполненные»</w:t>
      </w:r>
      <w:bookmarkEnd w:id="264"/>
      <w:r/>
      <w:bookmarkEnd w:id="265"/>
      <w:r/>
      <w:bookmarkEnd w:id="266"/>
      <w:r/>
      <w:bookmarkEnd w:id="267"/>
      <w:r/>
      <w:bookmarkEnd w:id="268"/>
      <w:r/>
      <w:r/>
    </w:p>
    <w:p>
      <w:pPr>
        <w:pStyle w:val="958"/>
      </w:pPr>
      <w:r>
        <w:t xml:space="preserve">В случае неуспешной обработки первичного ЭД на АРМ или в учетной системе ОрФК автоматически формируется протокол, а первичный документ пер</w:t>
      </w:r>
      <w:r>
        <w:t xml:space="preserve">е</w:t>
      </w:r>
      <w:r>
        <w:t xml:space="preserve">водится в статус </w:t>
      </w:r>
      <w:r>
        <w:t xml:space="preserve">«</w:t>
      </w:r>
      <w:r>
        <w:t xml:space="preserve">888</w:t>
      </w:r>
      <w:r>
        <w:t xml:space="preserve">»</w:t>
      </w:r>
      <w:r>
        <w:t xml:space="preserve"> (Отменен)</w:t>
      </w:r>
      <w:r>
        <w:t xml:space="preserve">.</w:t>
      </w:r>
      <w:r/>
    </w:p>
    <w:p>
      <w:pPr>
        <w:pStyle w:val="936"/>
      </w:pPr>
      <w:r/>
      <w:bookmarkStart w:id="270" w:name="_Toc225934599"/>
      <w:r/>
      <w:bookmarkStart w:id="271" w:name="_Toc232827342"/>
      <w:r/>
      <w:bookmarkStart w:id="272" w:name="_Toc409449248"/>
      <w:r/>
      <w:bookmarkStart w:id="273" w:name="_Toc421171960"/>
      <w:r/>
      <w:bookmarkStart w:id="274" w:name="_Toc433824919"/>
      <w:r/>
      <w:bookmarkStart w:id="275" w:name="_Toc480755706"/>
      <w:r/>
      <w:bookmarkStart w:id="276" w:name="_Ref481592577"/>
      <w:r/>
      <w:bookmarkStart w:id="277" w:name="_Toc146034932"/>
      <w:r>
        <w:t xml:space="preserve">Входящий протокол</w:t>
      </w:r>
      <w:bookmarkEnd w:id="270"/>
      <w:r/>
      <w:bookmarkEnd w:id="271"/>
      <w:r/>
      <w:bookmarkEnd w:id="272"/>
      <w:r/>
      <w:bookmarkEnd w:id="273"/>
      <w:r/>
      <w:bookmarkEnd w:id="274"/>
      <w:r/>
      <w:bookmarkEnd w:id="275"/>
      <w:r/>
      <w:bookmarkEnd w:id="276"/>
      <w:r/>
      <w:bookmarkEnd w:id="277"/>
      <w:r/>
      <w:r/>
    </w:p>
    <w:p>
      <w:pPr>
        <w:pStyle w:val="958"/>
      </w:pPr>
      <w:r>
        <w:t xml:space="preserve">Документ «</w:t>
      </w:r>
      <w:r>
        <w:t xml:space="preserve">Уведомление (протокол)</w:t>
      </w:r>
      <w:r>
        <w:t xml:space="preserve">» предназначен для уведомления отправителя о причине отказа предоставленного документа. Формируется в результате непрохождения документом контроля по месту обслуживания.</w:t>
      </w:r>
      <w:r/>
    </w:p>
    <w:p>
      <w:pPr>
        <w:pStyle w:val="958"/>
      </w:pPr>
      <w:r>
        <w:t xml:space="preserve">Возможны 4 варианта формирования «Протокола»:</w:t>
      </w:r>
      <w:r/>
    </w:p>
    <w:p>
      <w:pPr>
        <w:pStyle w:val="1137"/>
        <w:numPr>
          <w:ilvl w:val="0"/>
          <w:numId w:val="40"/>
        </w:numPr>
      </w:pPr>
      <w:r>
        <w:t xml:space="preserve">Создание протокола в OEBS в случае отказа документа учетной подсистемой АСФК. При этом происходит рассылка протокола из OEBS в АРМ и во все транзитные узлы.</w:t>
      </w:r>
      <w:r/>
    </w:p>
    <w:p>
      <w:pPr>
        <w:pStyle w:val="1137"/>
      </w:pPr>
      <w:r>
        <w:t xml:space="preserve">Создание протокола ручным способом в ОФК в случае отказа документа, предоставленного на бумажном носителе и не подлежащего регистрации в АСФК. При этом происходит пересылка протокола из ОФК в OEBS.</w:t>
      </w:r>
      <w:r/>
    </w:p>
    <w:p>
      <w:pPr>
        <w:pStyle w:val="1137"/>
      </w:pPr>
      <w:r>
        <w:t xml:space="preserve">Создание протокола автоматическим способом в ОФК в случае отказа документа, принятого от АРМ ДУБП. При этом происходит пересылка протокола из ОФК в АРМ ДУБП (в качестве адреса получателя протокола указывается адрес отправителя).</w:t>
      </w:r>
      <w:r/>
    </w:p>
    <w:p>
      <w:pPr>
        <w:pStyle w:val="1137"/>
      </w:pPr>
      <w:r>
        <w:t xml:space="preserve">Создание протокола при отказе или регистрации заявки РУБП или Сведений об организации. При этом производится пересылка протокола клиенту на портале, который сформировал исходный документ.</w:t>
      </w:r>
      <w:r/>
    </w:p>
    <w:p>
      <w:pPr>
        <w:pStyle w:val="958"/>
      </w:pPr>
      <w:r>
        <w:t xml:space="preserve">Для работы с документами «Входящий протокол» следует перейти в пункт меню «Документы – Неисполненные – Протоколы – Входящий протокол». Откроется ЭФ списка документов, представленная на рисунке </w:t>
      </w:r>
      <w:r>
        <w:fldChar w:fldCharType="begin"/>
      </w:r>
      <w:r>
        <w:instrText xml:space="preserve"> REF _Ref225075982 \h  \* MERGEFORMAT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3019425"/>
                <wp:effectExtent l="0" t="0" r="0" b="0"/>
                <wp:docPr id="65" name="_x0000_i10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6124575" cy="301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482.25pt;height:237.75pt;mso-wrap-distance-left:0.00pt;mso-wrap-distance-top:0.00pt;mso-wrap-distance-right:0.00pt;mso-wrap-distance-bottom:0.00pt;" stroked="f">
                <v:path textboxrect="0,0,0,0"/>
                <v:imagedata r:id="rId75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78" w:name="_Ref225075982"/>
      <w:r/>
      <w:bookmarkStart w:id="279" w:name="_Toc146034971"/>
      <w:r>
        <w:t xml:space="preserve">11</w:t>
      </w:r>
      <w:bookmarkEnd w:id="278"/>
      <w:r>
        <w:fldChar w:fldCharType="end"/>
      </w:r>
      <w:r>
        <w:t xml:space="preserve">. ЭФ списка документов «Входящий протокол»</w:t>
      </w:r>
      <w:bookmarkEnd w:id="279"/>
      <w:r/>
      <w:r/>
    </w:p>
    <w:p>
      <w:pPr>
        <w:pStyle w:val="937"/>
      </w:pPr>
      <w:r/>
      <w:bookmarkStart w:id="280" w:name="_Toc232827343"/>
      <w:r>
        <w:t xml:space="preserve">Доступные операции</w:t>
      </w:r>
      <w:bookmarkEnd w:id="280"/>
      <w:r/>
      <w:r/>
    </w:p>
    <w:p>
      <w:pPr>
        <w:pStyle w:val="958"/>
      </w:pPr>
      <w:r>
        <w:t xml:space="preserve">На АРМ </w:t>
      </w:r>
      <w:r>
        <w:t xml:space="preserve">Разные участники ЭОД </w:t>
      </w:r>
      <w:r>
        <w:t xml:space="preserve">доступны следующие операции над документом:</w:t>
      </w:r>
      <w:r/>
    </w:p>
    <w:p>
      <w:pPr>
        <w:pStyle w:val="949"/>
      </w:pPr>
      <w:r>
        <w:t xml:space="preserve">просмотр;</w:t>
      </w:r>
      <w:r/>
    </w:p>
    <w:p>
      <w:pPr>
        <w:pStyle w:val="949"/>
      </w:pPr>
      <w:r>
        <w:t xml:space="preserve">проверка ЭП;</w:t>
      </w:r>
      <w:r/>
    </w:p>
    <w:p>
      <w:pPr>
        <w:pStyle w:val="949"/>
      </w:pPr>
      <w:r>
        <w:t xml:space="preserve">печать;</w:t>
      </w:r>
      <w:r/>
    </w:p>
    <w:p>
      <w:pPr>
        <w:pStyle w:val="949"/>
      </w:pPr>
      <w:r>
        <w:t xml:space="preserve">экспорт во внешнюю систему</w:t>
      </w:r>
      <w:r>
        <w:t xml:space="preserve">.</w:t>
      </w:r>
      <w:r/>
    </w:p>
    <w:p>
      <w:pPr>
        <w:pStyle w:val="937"/>
      </w:pPr>
      <w:r/>
      <w:bookmarkStart w:id="281" w:name="_Toc232827344"/>
      <w:r>
        <w:t xml:space="preserve">Экранная форма документа</w:t>
      </w:r>
      <w:bookmarkEnd w:id="281"/>
      <w:r/>
      <w:r/>
    </w:p>
    <w:p>
      <w:pPr>
        <w:pStyle w:val="958"/>
      </w:pPr>
      <w:r>
        <w:t xml:space="preserve">ЭФ документа «Входящий протокол» представлена на рисунке </w:t>
      </w:r>
      <w:r>
        <w:fldChar w:fldCharType="begin"/>
      </w:r>
      <w:r>
        <w:instrText xml:space="preserve"> REF _Ref225076009 \h  \* MERGEFORMAT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. Форма содержит следующие закладки:</w:t>
      </w:r>
      <w:r/>
    </w:p>
    <w:p>
      <w:pPr>
        <w:pStyle w:val="949"/>
      </w:pPr>
      <w:r>
        <w:t xml:space="preserve">«Основные»;</w:t>
      </w:r>
      <w:r/>
    </w:p>
    <w:p>
      <w:pPr>
        <w:pStyle w:val="949"/>
      </w:pPr>
      <w:r>
        <w:t xml:space="preserve">«Системные атрибуты».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4391025"/>
                <wp:effectExtent l="0" t="0" r="0" b="0"/>
                <wp:docPr id="66" name="_x0000_i10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6124575" cy="439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82.25pt;height:345.75pt;mso-wrap-distance-left:0.00pt;mso-wrap-distance-top:0.00pt;mso-wrap-distance-right:0.00pt;mso-wrap-distance-bottom:0.00pt;" stroked="f">
                <v:path textboxrect="0,0,0,0"/>
                <v:imagedata r:id="rId76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82" w:name="_Ref225076009"/>
      <w:r/>
      <w:bookmarkStart w:id="283" w:name="_Toc146034972"/>
      <w:r>
        <w:t xml:space="preserve">12</w:t>
      </w:r>
      <w:bookmarkEnd w:id="282"/>
      <w:r>
        <w:fldChar w:fldCharType="end"/>
      </w:r>
      <w:r>
        <w:t xml:space="preserve">. ЭФ документа «Входящий протокол», закладки «Основные»</w:t>
      </w:r>
      <w:bookmarkEnd w:id="283"/>
      <w:r/>
      <w:r/>
    </w:p>
    <w:p>
      <w:pPr>
        <w:pStyle w:val="958"/>
      </w:pPr>
      <w:r>
        <w:t xml:space="preserve">Перечень полей документа «Входящий протокол», закладки «Основные» приведен в таблице </w:t>
      </w:r>
      <w:r>
        <w:fldChar w:fldCharType="begin"/>
      </w:r>
      <w:r>
        <w:instrText xml:space="preserve"> REF _Ref317610490 \h  \* MERGEFORMAT </w:instrText>
      </w:r>
      <w:r>
        <w:fldChar w:fldCharType="separate"/>
      </w:r>
      <w:r>
        <w:t xml:space="preserve">5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84" w:name="_Ref317610490"/>
      <w:r/>
      <w:bookmarkStart w:id="285" w:name="_Toc146034949"/>
      <w:r>
        <w:t xml:space="preserve">5</w:t>
      </w:r>
      <w:bookmarkEnd w:id="284"/>
      <w:r>
        <w:fldChar w:fldCharType="end"/>
      </w:r>
      <w:r>
        <w:t xml:space="preserve">. Описание полей документа «Входящий протокол», закладки «Основные»</w:t>
      </w:r>
      <w:bookmarkEnd w:id="28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750"/>
        <w:gridCol w:w="7002"/>
      </w:tblGrid>
      <w:tr>
        <w:tblPrEx/>
        <w:trPr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0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90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Протокол №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Уникальный номер протокола. </w:t>
            </w:r>
            <w:r/>
          </w:p>
          <w:p>
            <w:pPr>
              <w:pStyle w:val="969"/>
              <w:ind w:left="57" w:right="57"/>
            </w:pPr>
            <w:r>
              <w:t xml:space="preserve">Сформирован по шаблону «Тип документа – КОФК отправителя – Порядковый номер» (не более 8 символов).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создания протокола.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Откуда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</w:t>
            </w:r>
            <w:r>
              <w:t xml:space="preserve">ТОФК</w:t>
            </w:r>
            <w:r>
              <w:t xml:space="preserve">, передавшего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 КОФК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по КОФК </w:t>
            </w:r>
            <w:r>
              <w:t xml:space="preserve">ТОФК</w:t>
            </w:r>
            <w:r>
              <w:t xml:space="preserve">, передавшего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Куда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</w:t>
            </w:r>
            <w:r>
              <w:t xml:space="preserve">ТОФК</w:t>
            </w:r>
            <w:r>
              <w:t xml:space="preserve">, которому направлен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 КОФК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по КОФК </w:t>
            </w:r>
            <w:r>
              <w:t xml:space="preserve">ТОФК</w:t>
            </w:r>
            <w:r>
              <w:t xml:space="preserve">, которому направлен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Документ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документа, по которому сформирован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документа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документа, по которому сформирован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документа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документа, по которому сформирован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Клиент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клиента-отправителя документа, по которому сформирован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</w:t>
            </w:r>
            <w:r>
              <w:t xml:space="preserve">о Сводному реестру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по СРРПБС клиента-отправителя документа, по которому сформирован протокол.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лицевого счета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лицевого счета клиента.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Бюджет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бюджета из справочника «Бюджеты».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Финансовый орган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ФО, который организует исполнение бюджета.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Указание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Указание.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указания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указания, по умолчанию совпадает с датой создания протокола.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 сообщения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 сообщения «Ошибка».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Сообщение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Текст сообщения.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Ответственный исполнитель. Должность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Должность ответственного исполнителя.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Ответственный исполнитель. Расшифровка подписи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ФИО ответственного исполнителя.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Ответственный исполнитель. Телефон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телефона исполнителя.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Ответственный исполнитель. Дата подписи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подписи протокола ответственным исполнителем.</w:t>
            </w:r>
            <w:r/>
          </w:p>
        </w:tc>
      </w:tr>
      <w:tr>
        <w:tblPrEx/>
        <w:trPr/>
        <w:tc>
          <w:tcPr>
            <w:shd w:val="clear" w:color="auto" w:fill="auto"/>
            <w:tcW w:w="141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Статус</w:t>
            </w:r>
            <w:r/>
          </w:p>
        </w:tc>
        <w:tc>
          <w:tcPr>
            <w:shd w:val="clear" w:color="auto" w:fill="auto"/>
            <w:tcW w:w="359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и наименование бизнес-статуса протокола.</w:t>
            </w:r>
            <w:r/>
          </w:p>
        </w:tc>
      </w:tr>
    </w:tbl>
    <w:p>
      <w:pPr>
        <w:pStyle w:val="958"/>
      </w:pPr>
      <w:r>
        <w:t xml:space="preserve">Для просмотра сообщения в табличном блоке «Перечень сообщений/ошибок» следует нажать на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180975"/>
                <wp:effectExtent l="0" t="0" r="0" b="0"/>
                <wp:docPr id="67" name="_x0000_i109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14.25pt;height:14.25pt;mso-wrap-distance-left:0.00pt;mso-wrap-distance-top:0.00pt;mso-wrap-distance-right:0.00pt;mso-wrap-distance-bottom:0.00pt;" stroked="f">
                <v:path textboxrect="0,0,0,0"/>
                <v:imagedata r:id="rId77" o:title=""/>
              </v:shape>
            </w:pict>
          </mc:Fallback>
        </mc:AlternateContent>
      </w:r>
      <w:r>
        <w:t xml:space="preserve"> (Открыть строку для просмотра). Откроется форма «Просмотр записи» (рис. </w:t>
      </w:r>
      <w:r>
        <w:fldChar w:fldCharType="begin"/>
      </w:r>
      <w:r>
        <w:instrText xml:space="preserve"> REF _Ref230597513 \h  \* MERGEFORMAT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), содержащее параметры «Тип сообщения» и «Сообщение».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114550"/>
                <wp:effectExtent l="0" t="0" r="0" b="0"/>
                <wp:docPr id="68" name="_x0000_i109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6124575" cy="211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82.25pt;height:166.50pt;mso-wrap-distance-left:0.00pt;mso-wrap-distance-top:0.00pt;mso-wrap-distance-right:0.00pt;mso-wrap-distance-bottom:0.00pt;" stroked="f">
                <v:path textboxrect="0,0,0,0"/>
                <v:imagedata r:id="rId78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86" w:name="_Ref230597513"/>
      <w:r/>
      <w:bookmarkStart w:id="287" w:name="_Toc146034973"/>
      <w:r>
        <w:t xml:space="preserve">13</w:t>
      </w:r>
      <w:bookmarkEnd w:id="286"/>
      <w:r>
        <w:fldChar w:fldCharType="end"/>
      </w:r>
      <w:r>
        <w:t xml:space="preserve">. Форма «Просмотр записи»</w:t>
      </w:r>
      <w:bookmarkEnd w:id="287"/>
      <w:r/>
      <w:r/>
    </w:p>
    <w:p>
      <w:pPr>
        <w:pStyle w:val="958"/>
      </w:pPr>
      <w:r>
        <w:t xml:space="preserve">На закладке «Системные атрибуты» (рис. </w:t>
      </w:r>
      <w:r>
        <w:fldChar w:fldCharType="begin"/>
      </w:r>
      <w:r>
        <w:instrText xml:space="preserve"> REF _Ref230598149 \h  \* MERGEFORMAT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) отображается полный перечень ошибок, обнаруженных при проверке документа клиента.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29325" cy="4752975"/>
                <wp:effectExtent l="0" t="0" r="0" b="0"/>
                <wp:docPr id="69" name="_x0000_i109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79"/>
                        <a:srcRect l="0" t="0" r="20156" b="0"/>
                        <a:stretch/>
                      </pic:blipFill>
                      <pic:spPr bwMode="auto">
                        <a:xfrm>
                          <a:off x="0" y="0"/>
                          <a:ext cx="6029325" cy="475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74.75pt;height:374.25pt;mso-wrap-distance-left:0.00pt;mso-wrap-distance-top:0.00pt;mso-wrap-distance-right:0.00pt;mso-wrap-distance-bottom:0.00pt;" stroked="f">
                <v:path textboxrect="0,0,0,0"/>
                <v:imagedata r:id="rId79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88" w:name="_Ref230598149"/>
      <w:r/>
      <w:bookmarkStart w:id="289" w:name="_Toc146034974"/>
      <w:r>
        <w:t xml:space="preserve">14</w:t>
      </w:r>
      <w:bookmarkEnd w:id="288"/>
      <w:r>
        <w:fldChar w:fldCharType="end"/>
      </w:r>
      <w:r>
        <w:t xml:space="preserve">. ЭФ документа «Входящий протокол», закладки «Системные атрибуты»</w:t>
      </w:r>
      <w:bookmarkEnd w:id="289"/>
      <w:r/>
      <w:r/>
    </w:p>
    <w:p>
      <w:pPr>
        <w:pStyle w:val="935"/>
      </w:pPr>
      <w:r/>
      <w:bookmarkStart w:id="290" w:name="_Toc146034933"/>
      <w:r>
        <w:t xml:space="preserve">Группа документов </w:t>
      </w:r>
      <w:r>
        <w:t xml:space="preserve">«Исполнительные документы»</w:t>
      </w:r>
      <w:bookmarkEnd w:id="269"/>
      <w:r/>
      <w:bookmarkEnd w:id="290"/>
      <w:r/>
      <w:r/>
    </w:p>
    <w:p>
      <w:pPr>
        <w:pStyle w:val="936"/>
      </w:pPr>
      <w:r/>
      <w:bookmarkStart w:id="291" w:name="_Toc146034934"/>
      <w:r/>
      <w:bookmarkStart w:id="292" w:name="_Ref452369615"/>
      <w:r>
        <w:t xml:space="preserve">Уведомление о возвращении исполнительного документа</w:t>
      </w:r>
      <w:bookmarkEnd w:id="291"/>
      <w:r/>
      <w:r/>
    </w:p>
    <w:p>
      <w:pPr>
        <w:pStyle w:val="958"/>
      </w:pPr>
      <w:r>
        <w:t xml:space="preserve">Документ «Уведомление о возвращении исполнительного документа» предназначен для доведения до клиента результата обработки исполнительного документа</w:t>
      </w:r>
      <w:r>
        <w:t xml:space="preserve">.</w:t>
      </w:r>
      <w:r/>
    </w:p>
    <w:p>
      <w:pPr>
        <w:pStyle w:val="958"/>
      </w:pPr>
      <w:r>
        <w:t xml:space="preserve">Для работы с документами «</w:t>
      </w:r>
      <w:r>
        <w:t xml:space="preserve">Уведомление о возвращении исполнительного документа</w:t>
      </w:r>
      <w:r>
        <w:t xml:space="preserve">» следует перейти в пункт меню «Д</w:t>
      </w:r>
      <w:r>
        <w:t xml:space="preserve">о</w:t>
      </w:r>
      <w:r>
        <w:t xml:space="preserve">кументы – </w:t>
      </w:r>
      <w:r>
        <w:t xml:space="preserve">Исполнительные документы</w:t>
      </w:r>
      <w:r>
        <w:t xml:space="preserve"> – </w:t>
      </w:r>
      <w:r>
        <w:t xml:space="preserve">Уведомление о возвращении исполнительного документа</w:t>
      </w:r>
      <w:r>
        <w:t xml:space="preserve">». Откроется ЭФ списка док</w:t>
      </w:r>
      <w:r>
        <w:t xml:space="preserve">у</w:t>
      </w:r>
      <w:r>
        <w:t xml:space="preserve">ментов, представленная на рисунке </w:t>
      </w:r>
      <w:r>
        <w:fldChar w:fldCharType="begin"/>
      </w:r>
      <w:r>
        <w:instrText xml:space="preserve"> REF _Ref478044738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4100" cy="3305175"/>
                <wp:effectExtent l="0" t="0" r="0" b="0"/>
                <wp:docPr id="70" name="_x0000_i109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6134100" cy="3305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83.00pt;height:260.25pt;mso-wrap-distance-left:0.00pt;mso-wrap-distance-top:0.00pt;mso-wrap-distance-right:0.00pt;mso-wrap-distance-bottom:0.00pt;" stroked="f">
                <v:path textboxrect="0,0,0,0"/>
                <v:imagedata r:id="rId80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93" w:name="_Ref478044738"/>
      <w:r/>
      <w:bookmarkStart w:id="294" w:name="_Toc146034975"/>
      <w:r>
        <w:t xml:space="preserve">15</w:t>
      </w:r>
      <w:bookmarkEnd w:id="293"/>
      <w:r>
        <w:fldChar w:fldCharType="end"/>
      </w:r>
      <w:r>
        <w:t xml:space="preserve">. ЭФ списка документов «</w:t>
      </w:r>
      <w:r>
        <w:t xml:space="preserve">Уведомление о возвращении исполнительного документа</w:t>
      </w:r>
      <w:r>
        <w:t xml:space="preserve">»</w:t>
      </w:r>
      <w:bookmarkEnd w:id="294"/>
      <w:r/>
      <w:r/>
    </w:p>
    <w:p>
      <w:pPr>
        <w:pStyle w:val="937"/>
      </w:pPr>
      <w:r>
        <w:t xml:space="preserve">Доступные операции</w:t>
      </w:r>
      <w:r/>
    </w:p>
    <w:p>
      <w:pPr>
        <w:pStyle w:val="959"/>
      </w:pPr>
      <w:r>
        <w:t xml:space="preserve">На АРМ Разные участники ЭОД доступны следующие операции над документом:</w:t>
      </w:r>
      <w:r/>
    </w:p>
    <w:p>
      <w:pPr>
        <w:pStyle w:val="949"/>
      </w:pPr>
      <w:r>
        <w:t xml:space="preserve">просмотр;</w:t>
      </w:r>
      <w:r/>
    </w:p>
    <w:p>
      <w:pPr>
        <w:pStyle w:val="949"/>
      </w:pPr>
      <w:r>
        <w:t xml:space="preserve">печать</w:t>
      </w:r>
      <w:r>
        <w:t xml:space="preserve">;</w:t>
      </w:r>
      <w:r/>
    </w:p>
    <w:p>
      <w:pPr>
        <w:pStyle w:val="949"/>
      </w:pPr>
      <w:r>
        <w:t xml:space="preserve">экспорт</w:t>
      </w:r>
      <w:r>
        <w:t xml:space="preserve">.</w:t>
      </w:r>
      <w:r/>
    </w:p>
    <w:p>
      <w:pPr>
        <w:pStyle w:val="937"/>
      </w:pPr>
      <w:r>
        <w:t xml:space="preserve">Экранная форма документа</w:t>
      </w:r>
      <w:r/>
    </w:p>
    <w:p>
      <w:pPr>
        <w:pStyle w:val="958"/>
      </w:pPr>
      <w:r>
        <w:t xml:space="preserve">ЭФ документа «Уведомление о возвращении исполнительного документа» представлена на рисунке </w:t>
      </w:r>
      <w:r>
        <w:fldChar w:fldCharType="begin"/>
      </w:r>
      <w:r>
        <w:instrText xml:space="preserve"> REF _Ref232193526 \h  \* MERGEFORMAT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. Форма содержит следующие закладки:</w:t>
      </w:r>
      <w:r/>
    </w:p>
    <w:p>
      <w:pPr>
        <w:pStyle w:val="949"/>
      </w:pPr>
      <w:r>
        <w:t xml:space="preserve">«Документ (1)»;</w:t>
      </w:r>
      <w:r/>
    </w:p>
    <w:p>
      <w:pPr>
        <w:pStyle w:val="949"/>
      </w:pPr>
      <w:r>
        <w:t xml:space="preserve">«Системные атрибуты»;</w:t>
      </w:r>
      <w:r/>
    </w:p>
    <w:p>
      <w:pPr>
        <w:pStyle w:val="949"/>
      </w:pPr>
      <w:r>
        <w:t xml:space="preserve">«Протоколы».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34100" cy="7315200"/>
                <wp:effectExtent l="0" t="0" r="0" b="0"/>
                <wp:docPr id="71" name="_x0000_i109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6134100" cy="731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83.00pt;height:576.00pt;mso-wrap-distance-left:0.00pt;mso-wrap-distance-top:0.00pt;mso-wrap-distance-right:0.00pt;mso-wrap-distance-bottom:0.00pt;" stroked="f">
                <v:path textboxrect="0,0,0,0"/>
                <v:imagedata r:id="rId81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95" w:name="_Ref232193526"/>
      <w:r/>
      <w:bookmarkStart w:id="296" w:name="_Toc146034976"/>
      <w:r>
        <w:t xml:space="preserve">16</w:t>
      </w:r>
      <w:bookmarkEnd w:id="295"/>
      <w:r>
        <w:fldChar w:fldCharType="end"/>
      </w:r>
      <w:r>
        <w:t xml:space="preserve">. ЭФ документа «Уведомление о возвращении исполнительного документа»</w:t>
      </w:r>
      <w:bookmarkEnd w:id="296"/>
      <w:r/>
      <w:r/>
    </w:p>
    <w:p>
      <w:pPr>
        <w:pStyle w:val="958"/>
      </w:pPr>
      <w:r>
        <w:t xml:space="preserve">Перечень полей документа «Уведомление о возвращении исполнительного документа» приведен в таблице </w:t>
      </w:r>
      <w:r>
        <w:fldChar w:fldCharType="begin"/>
      </w:r>
      <w:r>
        <w:instrText xml:space="preserve"> REF _Ref318471040 \h  \* MERGEFORMAT </w:instrText>
      </w:r>
      <w:r>
        <w:fldChar w:fldCharType="separate"/>
      </w:r>
      <w:r>
        <w:t xml:space="preserve">6</w:t>
      </w:r>
      <w:r>
        <w:fldChar w:fldCharType="end"/>
      </w:r>
      <w:r>
        <w:t xml:space="preserve">. Значения полей передаются из </w:t>
      </w:r>
      <w:r>
        <w:t xml:space="preserve">ППО OEBS АСФК</w:t>
      </w:r>
      <w:r>
        <w:t xml:space="preserve"> и недоступны для редактирования.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297" w:name="_Ref247425155"/>
      <w:r/>
      <w:bookmarkStart w:id="298" w:name="_Ref318471040"/>
      <w:r/>
      <w:bookmarkStart w:id="299" w:name="_Toc146034950"/>
      <w:r>
        <w:t xml:space="preserve">6</w:t>
      </w:r>
      <w:bookmarkEnd w:id="297"/>
      <w:r/>
      <w:bookmarkEnd w:id="298"/>
      <w:r>
        <w:fldChar w:fldCharType="end"/>
      </w:r>
      <w:r>
        <w:t xml:space="preserve">. Описание полей документа «Уведомление о возвращении исполнительного документа»</w:t>
      </w:r>
      <w:bookmarkEnd w:id="29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36"/>
        <w:gridCol w:w="6216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13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87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Статус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бизнес-статуса. 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регистрации.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Регистрационный номер.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ТОФК должника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ТОФК должника. 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Серия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Серия исполнительного документа.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исполнительного документа. 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выдачи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Судебный орган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 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суда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Суд. </w:t>
            </w:r>
            <w:r>
              <w:t xml:space="preserve">А</w:t>
            </w:r>
            <w:r>
              <w:t xml:space="preserve">кт, дата, № дела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Кол-во листов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 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связи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При создании на АРМ ОФК заполняется вручную.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Руководитель ТОФК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«СПРАВОЧНО:»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бюджета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При импорте из </w:t>
            </w:r>
            <w:r>
              <w:t xml:space="preserve">ППО OEBS АСФК</w:t>
            </w:r>
            <w:r>
              <w:t xml:space="preserve"> заполняется значением из справочника «Бюджеты» на основании кода бюджета.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главы по БК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должника по Сводному реестру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ГРБС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ПБС-должник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ПБС-долж.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пост. ИД в ТОФК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ИД в жур. </w:t>
            </w:r>
            <w:r>
              <w:t xml:space="preserve">В</w:t>
            </w:r>
            <w:r>
              <w:t xml:space="preserve">х. </w:t>
            </w:r>
            <w:r>
              <w:t xml:space="preserve">К</w:t>
            </w:r>
            <w:r>
              <w:t xml:space="preserve">орр.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исполнительного документа по журналу входящей корреспонденции.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 по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почт. </w:t>
            </w:r>
            <w:r>
              <w:t xml:space="preserve">У</w:t>
            </w:r>
            <w:r>
              <w:t xml:space="preserve">вед.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почтового уведомления. 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ПУ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почтового уведомления. 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Предъявитель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«ИНФОРМАЦИЯ О ТЕКУЩЕМ ИСПОЛНИТЕЛЕ ПО ИД, ПЕРЕДАННОМУ ПОДВЕДОМСТВЕННОМУ ПБС:»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ПБС-исполнитель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по Сводному реестру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ТОФК исполнителя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ТОФК исп.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«Взыскатель»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Взыскатель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взыскателя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Уникальный идентификатор </w:t>
            </w:r>
            <w:r>
              <w:t xml:space="preserve">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«Реквизиты платежных документов»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</w:tbl>
    <w:p>
      <w:pPr>
        <w:pStyle w:val="936"/>
      </w:pPr>
      <w:r/>
      <w:bookmarkStart w:id="300" w:name="_Toc480755215"/>
      <w:r/>
      <w:bookmarkStart w:id="301" w:name="_Ref481763664"/>
      <w:r/>
      <w:bookmarkStart w:id="302" w:name="_Toc146034935"/>
      <w:r/>
      <w:bookmarkEnd w:id="292"/>
      <w:r>
        <w:t xml:space="preserve">Уведомление о предоставлении уточненных реквизитов банковского счета взыскателя</w:t>
      </w:r>
      <w:bookmarkEnd w:id="300"/>
      <w:r/>
      <w:bookmarkEnd w:id="301"/>
      <w:r/>
      <w:bookmarkEnd w:id="302"/>
      <w:r/>
      <w:r/>
    </w:p>
    <w:p>
      <w:pPr>
        <w:pStyle w:val="958"/>
      </w:pPr>
      <w:r>
        <w:t xml:space="preserve">Документ «Уведомление о возвращении исполнительного документа» предназначен для доведения до клиента результата обработки исполнительного документа</w:t>
      </w:r>
      <w:r>
        <w:t xml:space="preserve">.</w:t>
      </w:r>
      <w:r/>
    </w:p>
    <w:p>
      <w:pPr>
        <w:pStyle w:val="958"/>
      </w:pPr>
      <w:r>
        <w:t xml:space="preserve">Для работы с документами «Уведомление о предоставлении уточн</w:t>
      </w:r>
      <w:r>
        <w:t xml:space="preserve">енных реквизитов банковского счета взыскателя» следует перейти в пункт меню «Документы – Исполнительные документы – Уведомление о предоставлении уточненных реквизитов банковского счета взыскателя». Откроется ЭФ списка документов, представленная на рисунке </w:t>
      </w:r>
      <w:r>
        <w:fldChar w:fldCharType="begin"/>
      </w:r>
      <w:r>
        <w:instrText xml:space="preserve"> REF _Ref283307592 \h  \* MERGEFORMAT </w:instrText>
      </w:r>
      <w:r>
        <w:fldChar w:fldCharType="separate"/>
      </w:r>
      <w:r>
        <w:t xml:space="preserve">17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8850" cy="3019425"/>
                <wp:effectExtent l="0" t="0" r="0" b="0"/>
                <wp:docPr id="72" name="_x0000_i109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6038850" cy="3019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475.50pt;height:237.75pt;mso-wrap-distance-left:0.00pt;mso-wrap-distance-top:0.00pt;mso-wrap-distance-right:0.00pt;mso-wrap-distance-bottom:0.00pt;" stroked="f">
                <v:path textboxrect="0,0,0,0"/>
                <v:imagedata r:id="rId82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03" w:name="_Ref283307592"/>
      <w:r/>
      <w:bookmarkStart w:id="304" w:name="_Toc146034977"/>
      <w:r>
        <w:t xml:space="preserve">17</w:t>
      </w:r>
      <w:bookmarkEnd w:id="303"/>
      <w:r>
        <w:fldChar w:fldCharType="end"/>
      </w:r>
      <w:r>
        <w:t xml:space="preserve">. ЭФ списка документов «Уведомление о предоставлении уточненных реквизитов банковского счета взыскателя»</w:t>
      </w:r>
      <w:bookmarkEnd w:id="304"/>
      <w:r/>
      <w:r/>
    </w:p>
    <w:p>
      <w:pPr>
        <w:pStyle w:val="937"/>
      </w:pPr>
      <w:r>
        <w:t xml:space="preserve">Доступные операции</w:t>
      </w:r>
      <w:r/>
    </w:p>
    <w:p>
      <w:pPr>
        <w:pStyle w:val="958"/>
      </w:pPr>
      <w:r>
        <w:t xml:space="preserve">На АРМ Разные участники ЭОД доступны следующие операции над документом:</w:t>
      </w:r>
      <w:r/>
    </w:p>
    <w:p>
      <w:pPr>
        <w:pStyle w:val="949"/>
      </w:pPr>
      <w:r>
        <w:t xml:space="preserve">просмотр;</w:t>
      </w:r>
      <w:r/>
    </w:p>
    <w:p>
      <w:pPr>
        <w:pStyle w:val="949"/>
      </w:pPr>
      <w:r>
        <w:t xml:space="preserve">печать</w:t>
      </w:r>
      <w:r>
        <w:t xml:space="preserve">;</w:t>
      </w:r>
      <w:r/>
    </w:p>
    <w:p>
      <w:pPr>
        <w:pStyle w:val="949"/>
      </w:pPr>
      <w:r>
        <w:t xml:space="preserve">экспорт</w:t>
      </w:r>
      <w:r>
        <w:t xml:space="preserve">.</w:t>
      </w:r>
      <w:r/>
    </w:p>
    <w:p>
      <w:pPr>
        <w:pStyle w:val="937"/>
      </w:pPr>
      <w:r>
        <w:t xml:space="preserve">Экранная форма документа</w:t>
      </w:r>
      <w:r/>
    </w:p>
    <w:p>
      <w:pPr>
        <w:pStyle w:val="958"/>
      </w:pPr>
      <w:r>
        <w:t xml:space="preserve">ЭФ документа «Уведомление о предоставлении уточненных реквизитов банковского счета взыскателя» представлена на рисунке </w:t>
      </w:r>
      <w:r>
        <w:fldChar w:fldCharType="begin"/>
      </w:r>
      <w:r>
        <w:instrText xml:space="preserve"> REF _Ref283307594 \h  \* MERGEFORMAT </w:instrText>
      </w:r>
      <w:r>
        <w:fldChar w:fldCharType="separate"/>
      </w:r>
      <w:r>
        <w:t xml:space="preserve">18</w:t>
      </w:r>
      <w:r>
        <w:fldChar w:fldCharType="end"/>
      </w:r>
      <w:r>
        <w:t xml:space="preserve">. Форма содержит следующие закладки:</w:t>
      </w:r>
      <w:r/>
    </w:p>
    <w:p>
      <w:pPr>
        <w:pStyle w:val="949"/>
      </w:pPr>
      <w:r>
        <w:t xml:space="preserve">«Документ (1)»;</w:t>
      </w:r>
      <w:r/>
    </w:p>
    <w:p>
      <w:pPr>
        <w:pStyle w:val="949"/>
      </w:pPr>
      <w:r>
        <w:t xml:space="preserve">«Системные атрибуты»;</w:t>
      </w:r>
      <w:r/>
    </w:p>
    <w:p>
      <w:pPr>
        <w:pStyle w:val="949"/>
      </w:pPr>
      <w:r>
        <w:t xml:space="preserve">«Протоколы».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4943475"/>
                <wp:effectExtent l="0" t="0" r="0" b="0"/>
                <wp:docPr id="73" name="_x0000_i109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6124575" cy="494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82.25pt;height:389.25pt;mso-wrap-distance-left:0.00pt;mso-wrap-distance-top:0.00pt;mso-wrap-distance-right:0.00pt;mso-wrap-distance-bottom:0.00pt;" stroked="f">
                <v:path textboxrect="0,0,0,0"/>
                <v:imagedata r:id="rId83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05" w:name="_Ref283307594"/>
      <w:r/>
      <w:bookmarkStart w:id="306" w:name="_Toc146034978"/>
      <w:r>
        <w:t xml:space="preserve">18</w:t>
      </w:r>
      <w:bookmarkEnd w:id="305"/>
      <w:r>
        <w:fldChar w:fldCharType="end"/>
      </w:r>
      <w:r>
        <w:t xml:space="preserve">. ЭФ документа «Уведомление о предоставлении уточненных реквизитов банковского счета взыскателя»</w:t>
      </w:r>
      <w:bookmarkEnd w:id="306"/>
      <w:r/>
      <w:r/>
    </w:p>
    <w:p>
      <w:pPr>
        <w:pStyle w:val="958"/>
      </w:pPr>
      <w:r>
        <w:t xml:space="preserve">Значения полей на ЭФ документа «Уведомление о предоставлении уточненных реквизитов банковского счета взыскателя» передаются из учетной системы и недоступны для редактирования. </w:t>
      </w:r>
      <w:r/>
    </w:p>
    <w:p>
      <w:pPr>
        <w:pStyle w:val="958"/>
      </w:pPr>
      <w:r>
        <w:t xml:space="preserve">Перечень полей документа «Уведомление о предоставлении уточненных реквизитов банковского счета взыскателя» приведен в таблице </w:t>
      </w:r>
      <w:r>
        <w:fldChar w:fldCharType="begin"/>
      </w:r>
      <w:r>
        <w:instrText xml:space="preserve"> REF _Ref320188015 \h  \* MERGEFORMAT </w:instrText>
      </w:r>
      <w:r>
        <w:fldChar w:fldCharType="separate"/>
      </w:r>
      <w:r>
        <w:t xml:space="preserve">7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07" w:name="_Ref320188015"/>
      <w:r/>
      <w:bookmarkStart w:id="308" w:name="_Toc146034951"/>
      <w:r>
        <w:t xml:space="preserve">7</w:t>
      </w:r>
      <w:bookmarkEnd w:id="307"/>
      <w:r>
        <w:fldChar w:fldCharType="end"/>
      </w:r>
      <w:r>
        <w:t xml:space="preserve">. Описание полей документа «Уведомление о предоставлении уточненных реквизитов банковского счета взыскателя»</w:t>
      </w:r>
      <w:bookmarkEnd w:id="308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536"/>
        <w:gridCol w:w="6216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13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87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 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формирования документа. 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уведомления.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Статус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бизнес статуса. 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Взыскатель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взыскателя.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взыскателя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Предельный срок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Срок предоставления уточненных реквизитов.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Серия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Серия исполнительного документа.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исполнительного документа.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выдачи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Судебный орган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Судебный акт и № дела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Банковский счет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БИК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Банк взыскателя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Руководитель ТОФК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Должность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«СПРАВОЧНО:»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главы по БК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должника по сводному реестру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ТОФК должника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Должник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должника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Учредитель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учредителя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ТОФК должника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ТОФК должника.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пост. ИД в ТОФК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ИД в жур. </w:t>
            </w:r>
            <w:r>
              <w:t xml:space="preserve">В</w:t>
            </w:r>
            <w:r>
              <w:t xml:space="preserve">х. </w:t>
            </w:r>
            <w:r>
              <w:t xml:space="preserve">К</w:t>
            </w:r>
            <w:r>
              <w:t xml:space="preserve">орр.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Кол-во листов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почт. </w:t>
            </w:r>
            <w:r>
              <w:t xml:space="preserve">У</w:t>
            </w:r>
            <w:r>
              <w:t xml:space="preserve">вед.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почтового уведомления.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ПУ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почтового уведомления.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Предъявитель 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суда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отправки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Входящий: 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Уникальный идентификатор </w:t>
            </w:r>
            <w:r>
              <w:t xml:space="preserve">ИД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«Реквизиты платежных документов»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81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</w:t>
            </w:r>
            <w:r/>
          </w:p>
        </w:tc>
        <w:tc>
          <w:tcPr>
            <w:shd w:val="clear" w:color="auto" w:fill="auto"/>
            <w:tcW w:w="318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</w:tbl>
    <w:p>
      <w:pPr>
        <w:pStyle w:val="936"/>
      </w:pPr>
      <w:r/>
      <w:bookmarkStart w:id="309" w:name="_Toc287002216"/>
      <w:r/>
      <w:bookmarkStart w:id="310" w:name="_Ref287002237"/>
      <w:r/>
      <w:bookmarkStart w:id="311" w:name="_Ref287002517"/>
      <w:r/>
      <w:bookmarkStart w:id="312" w:name="_Ref362021360"/>
      <w:r/>
      <w:bookmarkStart w:id="313" w:name="_Toc409448860"/>
      <w:r/>
      <w:bookmarkStart w:id="314" w:name="_Toc410656200"/>
      <w:r/>
      <w:bookmarkStart w:id="315" w:name="_Toc421009398"/>
      <w:r/>
      <w:bookmarkStart w:id="316" w:name="_Toc481764134"/>
      <w:r/>
      <w:bookmarkStart w:id="317" w:name="_Toc146034936"/>
      <w:r/>
      <w:bookmarkStart w:id="318" w:name="_Ref481763665"/>
      <w:r>
        <w:t xml:space="preserve">Уведомление о направлении полностью исполненного исполнительного документа</w:t>
      </w:r>
      <w:bookmarkEnd w:id="309"/>
      <w:r/>
      <w:bookmarkEnd w:id="310"/>
      <w:r/>
      <w:bookmarkEnd w:id="311"/>
      <w:r/>
      <w:bookmarkEnd w:id="312"/>
      <w:r/>
      <w:bookmarkEnd w:id="313"/>
      <w:r/>
      <w:bookmarkEnd w:id="314"/>
      <w:r/>
      <w:bookmarkEnd w:id="315"/>
      <w:r/>
      <w:bookmarkEnd w:id="316"/>
      <w:r/>
      <w:bookmarkEnd w:id="317"/>
      <w:r/>
      <w:r/>
    </w:p>
    <w:p>
      <w:pPr>
        <w:pStyle w:val="958"/>
      </w:pPr>
      <w:r>
        <w:t xml:space="preserve">Документ «Уведомление о возвращении исполнительного документа» предназначен для доведения до клиента результата обработки исполнительного документа</w:t>
      </w:r>
      <w:r>
        <w:t xml:space="preserve">.</w:t>
      </w:r>
      <w:r/>
    </w:p>
    <w:p>
      <w:pPr>
        <w:pStyle w:val="958"/>
      </w:pPr>
      <w:r>
        <w:t xml:space="preserve">Для работы с документами «Уведомление о предоставлении </w:t>
      </w:r>
      <w:r>
        <w:t xml:space="preserve">уточненных реквизитов банковского счета взыскателя» следует перейти в пункт меню «Документы – Исполнительные документы – Уведомление о направлении полностью исполненного исполнительного документа». Откроется ЭФ списка документов, представленная на рисунке </w:t>
      </w:r>
      <w:r>
        <w:fldChar w:fldCharType="begin"/>
      </w:r>
      <w:r>
        <w:instrText xml:space="preserve"> REF _Ref287001255 \h  \* MERGEFORMAT </w:instrText>
      </w:r>
      <w:r>
        <w:fldChar w:fldCharType="separate"/>
      </w:r>
      <w:r>
        <w:t xml:space="preserve">19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3028950"/>
                <wp:effectExtent l="0" t="0" r="0" b="0"/>
                <wp:docPr id="74" name="_x0000_i109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6124575" cy="302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482.25pt;height:238.50pt;mso-wrap-distance-left:0.00pt;mso-wrap-distance-top:0.00pt;mso-wrap-distance-right:0.00pt;mso-wrap-distance-bottom:0.00pt;" stroked="f">
                <v:path textboxrect="0,0,0,0"/>
                <v:imagedata r:id="rId84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19" w:name="_Ref287001255"/>
      <w:r/>
      <w:bookmarkStart w:id="320" w:name="_Toc146034979"/>
      <w:r>
        <w:t xml:space="preserve">19</w:t>
      </w:r>
      <w:bookmarkEnd w:id="319"/>
      <w:r>
        <w:fldChar w:fldCharType="end"/>
      </w:r>
      <w:r>
        <w:t xml:space="preserve">. ЭФ списка документов «Уведомление о направлении полностью исполненного исполнительного документа»</w:t>
      </w:r>
      <w:bookmarkEnd w:id="320"/>
      <w:r/>
      <w:r/>
    </w:p>
    <w:p>
      <w:pPr>
        <w:pStyle w:val="937"/>
      </w:pPr>
      <w:r>
        <w:t xml:space="preserve">Доступные операции</w:t>
      </w:r>
      <w:r/>
    </w:p>
    <w:p>
      <w:pPr>
        <w:pStyle w:val="958"/>
      </w:pPr>
      <w:r>
        <w:t xml:space="preserve">На АРМ Разные участники ЭОД доступны следующие операции над документом:</w:t>
      </w:r>
      <w:r/>
    </w:p>
    <w:p>
      <w:pPr>
        <w:pStyle w:val="949"/>
      </w:pPr>
      <w:r>
        <w:t xml:space="preserve">просмотр;</w:t>
      </w:r>
      <w:r/>
    </w:p>
    <w:p>
      <w:pPr>
        <w:pStyle w:val="949"/>
      </w:pPr>
      <w:r>
        <w:t xml:space="preserve">печать;</w:t>
      </w:r>
      <w:r/>
    </w:p>
    <w:p>
      <w:pPr>
        <w:pStyle w:val="949"/>
      </w:pPr>
      <w:r>
        <w:t xml:space="preserve">экспорт.</w:t>
      </w:r>
      <w:r/>
    </w:p>
    <w:p>
      <w:pPr>
        <w:pStyle w:val="937"/>
      </w:pPr>
      <w:r>
        <w:t xml:space="preserve">Экранная форма документа</w:t>
      </w:r>
      <w:r/>
    </w:p>
    <w:p>
      <w:pPr>
        <w:pStyle w:val="958"/>
      </w:pPr>
      <w:r>
        <w:t xml:space="preserve">ЭФ документа «Уведомление о направлении полностью исполненного ИД» представлена на рисунке </w:t>
      </w:r>
      <w:r>
        <w:fldChar w:fldCharType="begin"/>
      </w:r>
      <w:r>
        <w:instrText xml:space="preserve"> REF _Ref287001257 \h  \* MERGEFORMAT </w:instrText>
      </w:r>
      <w:r>
        <w:fldChar w:fldCharType="separate"/>
      </w:r>
      <w:r>
        <w:t xml:space="preserve">20</w:t>
      </w:r>
      <w:r>
        <w:fldChar w:fldCharType="end"/>
      </w:r>
      <w:r>
        <w:t xml:space="preserve">. Форма содержит следующие закладки:</w:t>
      </w:r>
      <w:r/>
    </w:p>
    <w:p>
      <w:pPr>
        <w:pStyle w:val="949"/>
      </w:pPr>
      <w:r>
        <w:t xml:space="preserve">«Документ»;</w:t>
      </w:r>
      <w:r/>
    </w:p>
    <w:p>
      <w:pPr>
        <w:pStyle w:val="949"/>
      </w:pPr>
      <w:r>
        <w:t xml:space="preserve">«Системные атрибуты»;</w:t>
      </w:r>
      <w:r/>
    </w:p>
    <w:p>
      <w:pPr>
        <w:pStyle w:val="949"/>
      </w:pPr>
      <w:r>
        <w:t xml:space="preserve">«Протоколы».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6315075"/>
                <wp:effectExtent l="0" t="0" r="0" b="0"/>
                <wp:docPr id="75" name="_x0000_i109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6124575" cy="6315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482.25pt;height:497.25pt;mso-wrap-distance-left:0.00pt;mso-wrap-distance-top:0.00pt;mso-wrap-distance-right:0.00pt;mso-wrap-distance-bottom:0.00pt;" stroked="f">
                <v:path textboxrect="0,0,0,0"/>
                <v:imagedata r:id="rId85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21" w:name="_Ref287001257"/>
      <w:r/>
      <w:bookmarkStart w:id="322" w:name="_Toc146034980"/>
      <w:r>
        <w:t xml:space="preserve">20</w:t>
      </w:r>
      <w:bookmarkEnd w:id="321"/>
      <w:r>
        <w:fldChar w:fldCharType="end"/>
      </w:r>
      <w:r>
        <w:t xml:space="preserve">. ЭФ документа «Уведомление о направлении полностью исполненного ИД»</w:t>
      </w:r>
      <w:bookmarkEnd w:id="322"/>
      <w:r/>
      <w:r/>
    </w:p>
    <w:p>
      <w:pPr>
        <w:pStyle w:val="958"/>
      </w:pPr>
      <w:r>
        <w:t xml:space="preserve">Значения полей ЭФ документа «Уведомление о направлении полностью исполненного ИД» передаются из </w:t>
      </w:r>
      <w:r>
        <w:t xml:space="preserve">ППО OEBS АСФК</w:t>
      </w:r>
      <w:r>
        <w:t xml:space="preserve"> и недоступны для редактирования.</w:t>
      </w:r>
      <w:r/>
    </w:p>
    <w:p>
      <w:pPr>
        <w:pStyle w:val="958"/>
      </w:pPr>
      <w:r>
        <w:t xml:space="preserve">Перечень полей документа «Уведомление о направлении полностью исполненного ИД» приведен в таблице </w:t>
      </w:r>
      <w:r>
        <w:fldChar w:fldCharType="begin"/>
      </w:r>
      <w:r>
        <w:instrText xml:space="preserve"> REF _Ref320188097 \h  \* MERGEFORMAT </w:instrText>
      </w:r>
      <w:r>
        <w:fldChar w:fldCharType="separate"/>
      </w:r>
      <w:r>
        <w:t xml:space="preserve">8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23" w:name="_Ref320188097"/>
      <w:r/>
      <w:bookmarkStart w:id="324" w:name="_Toc146034952"/>
      <w:r>
        <w:t xml:space="preserve">8</w:t>
      </w:r>
      <w:bookmarkEnd w:id="323"/>
      <w:r>
        <w:fldChar w:fldCharType="end"/>
      </w:r>
      <w:r>
        <w:t xml:space="preserve">. Описание полей документа «Уведомление о направлении полностью исполненного исполнительного документа»</w:t>
      </w:r>
      <w:bookmarkEnd w:id="324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456"/>
        <w:gridCol w:w="6296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2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8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 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формирования документа.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Регистрационный номер документа.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Статус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бизнес-статуса документа. 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ТОФК должника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ТОФК должника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Руководитель ТОФК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Должность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отправки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«СПРАВОЧНО:»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пост. ИД в ТОФК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поступления ИД в ТОФК.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ИД в жур. </w:t>
            </w:r>
            <w:r>
              <w:t xml:space="preserve">В</w:t>
            </w:r>
            <w:r>
              <w:t xml:space="preserve">х. </w:t>
            </w:r>
            <w:r>
              <w:t xml:space="preserve">К</w:t>
            </w:r>
            <w:r>
              <w:t xml:space="preserve">орр.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исполнительного документа в журнале входящей корреспонденции.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 по ИД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почт. </w:t>
            </w:r>
            <w:r>
              <w:t xml:space="preserve">У</w:t>
            </w:r>
            <w:r>
              <w:t xml:space="preserve">вед.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почтового уведомления.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ПУ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почтового уведомления.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Предъявитель ИД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Серия ИД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№ ИД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исполнительного документа.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выдачи ИД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Судебный орган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Судебный акт и № дела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Кол-во листов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суда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бюджета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Автозаполнение: заполняется на основании поля «Код бюджета» из справочника «Бюджеты».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главы по БК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Учредитель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должника по Сводному реестру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ПБС должник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ПБС должника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Взыскатель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взыскателя.</w:t>
            </w:r>
            <w:r/>
          </w:p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 взыскателя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Уникальный идентификатор </w:t>
            </w:r>
            <w:r>
              <w:t xml:space="preserve">ИД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«Реквизиты платежных документов»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</w:t>
            </w:r>
            <w:r/>
          </w:p>
        </w:tc>
        <w:tc>
          <w:tcPr>
            <w:shd w:val="clear" w:color="auto" w:fill="auto"/>
            <w:tcW w:w="322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</w:tbl>
    <w:p>
      <w:pPr>
        <w:pStyle w:val="936"/>
      </w:pPr>
      <w:r/>
      <w:bookmarkStart w:id="325" w:name="_Ref481771440"/>
      <w:r/>
      <w:bookmarkStart w:id="326" w:name="_Toc146034937"/>
      <w:r>
        <w:t xml:space="preserve">Исполнительный документ в форме электронного документа</w:t>
      </w:r>
      <w:bookmarkEnd w:id="318"/>
      <w:r/>
      <w:bookmarkEnd w:id="325"/>
      <w:r/>
      <w:bookmarkEnd w:id="326"/>
      <w:r/>
      <w:r/>
    </w:p>
    <w:p>
      <w:pPr>
        <w:pStyle w:val="958"/>
      </w:pPr>
      <w:r>
        <w:t xml:space="preserve">ЭД «Исполнительный документ в форме электронного документа» разработан для передачи; для ускорения разработки ВФ сделана упрощенной и содержит не все поля.</w:t>
      </w:r>
      <w:r/>
    </w:p>
    <w:p>
      <w:pPr>
        <w:pStyle w:val="958"/>
      </w:pPr>
      <w:r>
        <w:t xml:space="preserve">Для работы с документами «</w:t>
      </w:r>
      <w:r>
        <w:t xml:space="preserve">Исполнительный документ в форме электронного документа</w:t>
      </w:r>
      <w:r>
        <w:t xml:space="preserve">»</w:t>
      </w:r>
      <w:r>
        <w:t xml:space="preserve"> следует перейти в пункт меню </w:t>
      </w:r>
      <w:r>
        <w:t xml:space="preserve">«</w:t>
      </w:r>
      <w:r>
        <w:t xml:space="preserve">Документы</w:t>
      </w:r>
      <w:r>
        <w:t xml:space="preserve"> – </w:t>
      </w:r>
      <w:r>
        <w:t xml:space="preserve">Исполнительные документы</w:t>
      </w:r>
      <w:r>
        <w:t xml:space="preserve"> – </w:t>
      </w:r>
      <w:r>
        <w:t xml:space="preserve">Исполнительный документ в форме электронного документа</w:t>
      </w:r>
      <w:r>
        <w:t xml:space="preserve">»</w:t>
      </w:r>
      <w:r>
        <w:t xml:space="preserve">. Откроется ЭФ списка док</w:t>
      </w:r>
      <w:r>
        <w:t xml:space="preserve">у</w:t>
      </w:r>
      <w:r>
        <w:t xml:space="preserve">ментов, представленная на </w:t>
      </w:r>
      <w:r>
        <w:t xml:space="preserve">рисунке </w:t>
      </w:r>
      <w:r>
        <w:fldChar w:fldCharType="begin"/>
      </w:r>
      <w:r>
        <w:instrText xml:space="preserve"> REF _Ref232190654 \h  \* MERGEFORMAT </w:instrText>
      </w:r>
      <w:r>
        <w:fldChar w:fldCharType="separate"/>
      </w:r>
      <w:r>
        <w:t xml:space="preserve">21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3009900"/>
                <wp:effectExtent l="0" t="0" r="0" b="0"/>
                <wp:docPr id="76" name="_x0000_i110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6124575" cy="300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482.25pt;height:237.00pt;mso-wrap-distance-left:0.00pt;mso-wrap-distance-top:0.00pt;mso-wrap-distance-right:0.00pt;mso-wrap-distance-bottom:0.00pt;" stroked="f">
                <v:path textboxrect="0,0,0,0"/>
                <v:imagedata r:id="rId86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27" w:name="_Ref232190654"/>
      <w:r/>
      <w:bookmarkStart w:id="328" w:name="_Toc146034981"/>
      <w:r>
        <w:t xml:space="preserve">21</w:t>
      </w:r>
      <w:bookmarkEnd w:id="327"/>
      <w:r>
        <w:fldChar w:fldCharType="end"/>
      </w:r>
      <w:r>
        <w:t xml:space="preserve">. ЭФ списка документов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</w:t>
      </w:r>
      <w:bookmarkEnd w:id="328"/>
      <w:r/>
      <w:r/>
    </w:p>
    <w:p>
      <w:pPr>
        <w:pStyle w:val="937"/>
      </w:pPr>
      <w:r/>
      <w:bookmarkStart w:id="329" w:name="_Toc232827450"/>
      <w:r>
        <w:t xml:space="preserve">Доступные операции</w:t>
      </w:r>
      <w:bookmarkEnd w:id="329"/>
      <w:r/>
      <w:r/>
    </w:p>
    <w:p>
      <w:pPr>
        <w:pStyle w:val="958"/>
      </w:pPr>
      <w:r>
        <w:t xml:space="preserve">На АРМ </w:t>
      </w:r>
      <w:r>
        <w:t xml:space="preserve">Разные участники ЭОД </w:t>
      </w:r>
      <w:r>
        <w:t xml:space="preserve">доступны следующие операции над документом:</w:t>
      </w:r>
      <w:r/>
    </w:p>
    <w:p>
      <w:pPr>
        <w:pStyle w:val="949"/>
      </w:pPr>
      <w:r>
        <w:t xml:space="preserve">просмотр;</w:t>
      </w:r>
      <w:r/>
    </w:p>
    <w:p>
      <w:pPr>
        <w:pStyle w:val="949"/>
      </w:pPr>
      <w:r>
        <w:t xml:space="preserve">импорт из внешней системы;</w:t>
      </w:r>
      <w:r/>
    </w:p>
    <w:p>
      <w:pPr>
        <w:pStyle w:val="949"/>
      </w:pPr>
      <w:r>
        <w:t xml:space="preserve">подписание </w:t>
      </w:r>
      <w:r>
        <w:t xml:space="preserve">ЭП;</w:t>
      </w:r>
      <w:r/>
    </w:p>
    <w:p>
      <w:pPr>
        <w:pStyle w:val="949"/>
      </w:pPr>
      <w:r>
        <w:t xml:space="preserve">удаление</w:t>
      </w:r>
      <w:r>
        <w:t xml:space="preserve">;</w:t>
      </w:r>
      <w:r/>
    </w:p>
    <w:p>
      <w:pPr>
        <w:pStyle w:val="949"/>
      </w:pPr>
      <w:r>
        <w:t xml:space="preserve">отправка в </w:t>
      </w:r>
      <w:r>
        <w:t xml:space="preserve">ППО OEBS АСФК</w:t>
      </w:r>
      <w:r>
        <w:t xml:space="preserve">.</w:t>
      </w:r>
      <w:r/>
    </w:p>
    <w:p>
      <w:pPr>
        <w:pStyle w:val="958"/>
      </w:pPr>
      <w:r>
        <w:t xml:space="preserve">П</w:t>
      </w:r>
      <w:r>
        <w:t xml:space="preserve">осле импорта </w:t>
      </w:r>
      <w:r>
        <w:t xml:space="preserve">документа, его п</w:t>
      </w:r>
      <w:r>
        <w:t xml:space="preserve">одписание и последующая отправка выполняются автоматически</w:t>
      </w:r>
      <w:r>
        <w:t xml:space="preserve">, е</w:t>
      </w:r>
      <w:r>
        <w:t xml:space="preserve">сли включена системная константа «Включить автоматическую подпись ИД»</w:t>
      </w:r>
      <w:r>
        <w:t xml:space="preserve">.</w:t>
      </w:r>
      <w:r/>
    </w:p>
    <w:p>
      <w:pPr>
        <w:pStyle w:val="937"/>
      </w:pPr>
      <w:r/>
      <w:bookmarkStart w:id="330" w:name="_Toc232827451"/>
      <w:r>
        <w:t xml:space="preserve">Экранная форма документа</w:t>
      </w:r>
      <w:bookmarkEnd w:id="330"/>
      <w:r/>
      <w:r/>
    </w:p>
    <w:p>
      <w:pPr>
        <w:pStyle w:val="958"/>
      </w:pPr>
      <w:r>
        <w:t xml:space="preserve">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</w:t>
      </w:r>
      <w:r>
        <w:t xml:space="preserve"> пре</w:t>
      </w:r>
      <w:r>
        <w:t xml:space="preserve">д</w:t>
      </w:r>
      <w:r>
        <w:t xml:space="preserve">ставл</w:t>
      </w:r>
      <w:r>
        <w:t xml:space="preserve">е</w:t>
      </w:r>
      <w:r>
        <w:t xml:space="preserve">на на </w:t>
      </w:r>
      <w:r>
        <w:t xml:space="preserve">рисунке </w:t>
      </w:r>
      <w:r>
        <w:fldChar w:fldCharType="begin"/>
      </w:r>
      <w:r>
        <w:instrText xml:space="preserve"> REF _Ref232190879 \h  \* MERGEFORMAT </w:instrText>
      </w:r>
      <w:r>
        <w:fldChar w:fldCharType="separate"/>
      </w:r>
      <w:r>
        <w:t xml:space="preserve">22</w:t>
      </w:r>
      <w:r>
        <w:fldChar w:fldCharType="end"/>
      </w:r>
      <w:r>
        <w:t xml:space="preserve">.</w:t>
      </w:r>
      <w:r>
        <w:t xml:space="preserve"> </w:t>
      </w:r>
      <w:r>
        <w:t xml:space="preserve">Форма содержит следующие закладки:</w:t>
      </w:r>
      <w:r/>
    </w:p>
    <w:p>
      <w:pPr>
        <w:pStyle w:val="949"/>
      </w:pPr>
      <w:r>
        <w:t xml:space="preserve">«</w:t>
      </w:r>
      <w:r>
        <w:t xml:space="preserve">Заголовок</w:t>
      </w:r>
      <w:r>
        <w:t xml:space="preserve">»</w:t>
      </w:r>
      <w:r>
        <w:t xml:space="preserve">;</w:t>
      </w:r>
      <w:r/>
    </w:p>
    <w:p>
      <w:pPr>
        <w:pStyle w:val="949"/>
      </w:pPr>
      <w:r>
        <w:t xml:space="preserve">«</w:t>
      </w:r>
      <w:r>
        <w:t xml:space="preserve">Дополнительные сведения</w:t>
      </w:r>
      <w:r>
        <w:t xml:space="preserve">»</w:t>
      </w:r>
      <w:r>
        <w:t xml:space="preserve">;</w:t>
      </w:r>
      <w:r/>
    </w:p>
    <w:p>
      <w:pPr>
        <w:pStyle w:val="949"/>
      </w:pPr>
      <w:r>
        <w:t xml:space="preserve">«</w:t>
      </w:r>
      <w:r>
        <w:t xml:space="preserve">Информация о нормативном правовом акте</w:t>
      </w:r>
      <w:r>
        <w:t xml:space="preserve">»</w:t>
      </w:r>
      <w:r>
        <w:t xml:space="preserve">;</w:t>
      </w:r>
      <w:r/>
    </w:p>
    <w:p>
      <w:pPr>
        <w:pStyle w:val="949"/>
      </w:pPr>
      <w:r>
        <w:t xml:space="preserve">«Реквизиты счета для перечисления задолженности»</w:t>
      </w:r>
      <w:r>
        <w:t xml:space="preserve">;</w:t>
      </w:r>
      <w:r/>
    </w:p>
    <w:p>
      <w:pPr>
        <w:pStyle w:val="949"/>
      </w:pPr>
      <w:r>
        <w:t xml:space="preserve">«Результаты импорта»</w:t>
      </w:r>
      <w:r>
        <w:t xml:space="preserve">;</w:t>
      </w:r>
      <w:r/>
    </w:p>
    <w:p>
      <w:pPr>
        <w:pStyle w:val="949"/>
      </w:pPr>
      <w:r>
        <w:t xml:space="preserve">«Протоколы»</w:t>
      </w:r>
      <w:r>
        <w:t xml:space="preserve">.</w:t>
      </w:r>
      <w:r/>
    </w:p>
    <w:p>
      <w:pPr>
        <w:pStyle w:val="958"/>
      </w:pPr>
      <w:r>
        <w:t xml:space="preserve">При доведении документа на АРМ ОФК из учетной системы УФК, значения полей п</w:t>
      </w:r>
      <w:r>
        <w:t xml:space="preserve">е</w:t>
      </w:r>
      <w:r>
        <w:t xml:space="preserve">редаются из учетной системы и </w:t>
      </w:r>
      <w:r>
        <w:t xml:space="preserve">не доступны для </w:t>
      </w:r>
      <w:r>
        <w:t xml:space="preserve">редактирования.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38850" cy="7953375"/>
                <wp:effectExtent l="0" t="0" r="0" b="0"/>
                <wp:docPr id="77" name="_x0000_i11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6038850" cy="795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475.50pt;height:626.25pt;mso-wrap-distance-left:0.00pt;mso-wrap-distance-top:0.00pt;mso-wrap-distance-right:0.00pt;mso-wrap-distance-bottom:0.00pt;" stroked="f">
                <v:path textboxrect="0,0,0,0"/>
                <v:imagedata r:id="rId87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31" w:name="_Ref232190879"/>
      <w:r/>
      <w:bookmarkStart w:id="332" w:name="_Toc146034982"/>
      <w:r>
        <w:t xml:space="preserve">22</w:t>
      </w:r>
      <w:bookmarkEnd w:id="331"/>
      <w:r>
        <w:fldChar w:fldCharType="end"/>
      </w:r>
      <w:r>
        <w:t xml:space="preserve">. 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«Заголовок»</w:t>
      </w:r>
      <w:bookmarkEnd w:id="332"/>
      <w:r/>
      <w:r/>
    </w:p>
    <w:p>
      <w:pPr>
        <w:pStyle w:val="958"/>
      </w:pPr>
      <w:r>
        <w:t xml:space="preserve">Перечень</w:t>
      </w:r>
      <w:r>
        <w:t xml:space="preserve"> </w:t>
      </w:r>
      <w:r>
        <w:t xml:space="preserve">полей</w:t>
      </w:r>
      <w:r>
        <w:t xml:space="preserve"> документа 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«Заголовок»</w:t>
      </w:r>
      <w:r>
        <w:t xml:space="preserve"> </w:t>
      </w:r>
      <w:r>
        <w:t xml:space="preserve">приведен в таблице</w:t>
      </w:r>
      <w:r>
        <w:t xml:space="preserve"> </w:t>
      </w:r>
      <w:r>
        <w:fldChar w:fldCharType="begin"/>
      </w:r>
      <w:r>
        <w:instrText xml:space="preserve"> REF _Ref319336939 \h  \* MERGEFORMAT </w:instrText>
      </w:r>
      <w:r>
        <w:fldChar w:fldCharType="separate"/>
      </w:r>
      <w:r>
        <w:t xml:space="preserve">9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33" w:name="_Ref317677172"/>
      <w:r/>
      <w:bookmarkStart w:id="334" w:name="_Ref319336939"/>
      <w:r/>
      <w:bookmarkStart w:id="335" w:name="_Toc146034953"/>
      <w:r>
        <w:t xml:space="preserve">9</w:t>
      </w:r>
      <w:bookmarkEnd w:id="333"/>
      <w:r/>
      <w:bookmarkEnd w:id="334"/>
      <w:r>
        <w:fldChar w:fldCharType="end"/>
      </w:r>
      <w:r>
        <w:t xml:space="preserve">. Описание полей документ</w:t>
      </w:r>
      <w:r>
        <w:t xml:space="preserve">а</w:t>
      </w:r>
      <w:r>
        <w:t xml:space="preserve">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«Заголовок»</w:t>
      </w:r>
      <w:bookmarkEnd w:id="335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7"/>
        <w:gridCol w:w="7055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83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17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</w:t>
            </w:r>
            <w:bookmarkStart w:id="336" w:name="_Hlk449002554"/>
            <w:r>
              <w:t xml:space="preserve">Исполнительный документ</w:t>
            </w:r>
            <w:bookmarkEnd w:id="336"/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Идентификатор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ИД </w:t>
            </w:r>
            <w:r>
              <w:t xml:space="preserve">документа в ВС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37" w:name="_Hlk449002834"/>
            <w:r>
              <w:t xml:space="preserve">Штрих-код</w:t>
            </w:r>
            <w:bookmarkEnd w:id="337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ормат Code 39.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38" w:name="_Hlk449002842"/>
            <w:r>
              <w:t xml:space="preserve">В</w:t>
            </w:r>
            <w:r>
              <w:t xml:space="preserve">ид</w:t>
            </w:r>
            <w:bookmarkEnd w:id="338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39" w:name="_Hlk449024433"/>
            <w:r>
              <w:t xml:space="preserve">Выпадающий список,</w:t>
            </w:r>
            <w:r>
              <w:t xml:space="preserve"> </w:t>
            </w:r>
            <w:bookmarkEnd w:id="339"/>
            <w:r>
              <w:t xml:space="preserve">з</w:t>
            </w:r>
            <w:r>
              <w:t xml:space="preserve">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исполнительный лист;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нотариально удостоверенное соглашение об уплате алиментов;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акт по делу об административном правонарушении;</w:t>
            </w:r>
            <w:r/>
          </w:p>
          <w:p>
            <w:pPr>
              <w:pStyle w:val="971"/>
            </w:pPr>
            <w:r>
              <w:t xml:space="preserve">4</w:t>
            </w:r>
            <w:r>
              <w:t xml:space="preserve"> – </w:t>
            </w:r>
            <w:r>
              <w:t xml:space="preserve">судебный приказ;</w:t>
            </w:r>
            <w:r/>
          </w:p>
          <w:p>
            <w:pPr>
              <w:pStyle w:val="971"/>
            </w:pPr>
            <w:r>
              <w:t xml:space="preserve">5</w:t>
            </w:r>
            <w:r>
              <w:t xml:space="preserve"> – </w:t>
            </w:r>
            <w:r>
              <w:t xml:space="preserve">акт органа, осуществляющего контрольные функции;</w:t>
            </w:r>
            <w:r/>
          </w:p>
          <w:p>
            <w:pPr>
              <w:pStyle w:val="971"/>
            </w:pPr>
            <w:r>
              <w:t xml:space="preserve">6</w:t>
            </w:r>
            <w:r>
              <w:t xml:space="preserve"> – </w:t>
            </w:r>
            <w:r>
              <w:t xml:space="preserve">удостоверение комиссии по трудовым спорам;</w:t>
            </w:r>
            <w:r/>
          </w:p>
          <w:p>
            <w:pPr>
              <w:pStyle w:val="971"/>
            </w:pPr>
            <w:r>
              <w:t xml:space="preserve">7</w:t>
            </w:r>
            <w:r>
              <w:t xml:space="preserve"> – </w:t>
            </w:r>
            <w:r>
              <w:t xml:space="preserve">акт другого органа;</w:t>
            </w:r>
            <w:r/>
          </w:p>
          <w:p>
            <w:pPr>
              <w:pStyle w:val="971"/>
            </w:pPr>
            <w:r>
              <w:t xml:space="preserve">8</w:t>
            </w:r>
            <w:r>
              <w:t xml:space="preserve"> –</w:t>
            </w:r>
            <w:r>
              <w:t xml:space="preserve"> постановление судебного пристава-исполнителя;</w:t>
            </w:r>
            <w:r/>
          </w:p>
          <w:p>
            <w:pPr>
              <w:pStyle w:val="971"/>
            </w:pPr>
            <w:r>
              <w:t xml:space="preserve">10</w:t>
            </w:r>
            <w:r>
              <w:t xml:space="preserve"> – </w:t>
            </w:r>
            <w:r>
              <w:t xml:space="preserve">исполнительная надпись нотариуса;</w:t>
            </w:r>
            <w:r/>
          </w:p>
          <w:p>
            <w:pPr>
              <w:pStyle w:val="971"/>
            </w:pPr>
            <w:r>
              <w:t xml:space="preserve">11</w:t>
            </w:r>
            <w:r>
              <w:t xml:space="preserve"> –</w:t>
            </w:r>
            <w:r>
              <w:t xml:space="preserve"> </w:t>
            </w:r>
            <w:r>
              <w:t xml:space="preserve">судебный акт по делу об административном правонарушении;</w:t>
            </w:r>
            <w:r/>
          </w:p>
          <w:p>
            <w:pPr>
              <w:pStyle w:val="971"/>
            </w:pPr>
            <w:r>
              <w:t xml:space="preserve">12</w:t>
            </w:r>
            <w:r>
              <w:t xml:space="preserve"> – </w:t>
            </w:r>
            <w:r>
              <w:t xml:space="preserve">запрос центрального органа о розыске ребенка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13 – исполнительный документ, выданный компетентным органом иностранного государства и подлежащий исполнению на территории Российской Федерации в соответствии с международным договором Российской Федерации;</w:t>
            </w:r>
            <w:r/>
          </w:p>
          <w:p>
            <w:pPr>
              <w:pStyle w:val="971"/>
            </w:pPr>
            <w:r>
              <w:t xml:space="preserve">16 – удостоверение, выданное уполномоченным по правам потребителей финансовых услуг;</w:t>
            </w:r>
            <w:r/>
          </w:p>
          <w:p>
            <w:pPr>
              <w:pStyle w:val="971"/>
            </w:pPr>
            <w:r>
              <w:t xml:space="preserve">17 – определение судьи о нал</w:t>
            </w:r>
            <w:r>
              <w:t xml:space="preserve">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19.28 Кодекса Российской Федерации об административных правонарушениях.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случае отсутствия номера исполнительного документа указывается значение «б/н».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выдачи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выдачи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Экземпляр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экземпляра исполнительного документа. Допустимое </w:t>
            </w:r>
            <w:r>
              <w:t xml:space="preserve">значение – «2».</w:t>
            </w:r>
            <w:r/>
          </w:p>
          <w:p>
            <w:pPr>
              <w:pStyle w:val="969"/>
              <w:ind w:left="57" w:right="57"/>
            </w:pPr>
            <w:r>
              <w:t xml:space="preserve">Реквизит обязателен для заполнения:</w:t>
            </w:r>
            <w:r/>
          </w:p>
          <w:p>
            <w:pPr>
              <w:pStyle w:val="971"/>
            </w:pPr>
            <w:r>
              <w:t xml:space="preserve">для исполнительных документов, выданных на основании решения или приговора суда о взыскании денежных сумм с солидарных ответчиков;</w:t>
            </w:r>
            <w:r/>
          </w:p>
          <w:p>
            <w:pPr>
              <w:pStyle w:val="971"/>
            </w:pPr>
            <w:r>
              <w:t xml:space="preserve">если</w:t>
            </w:r>
            <w:r>
              <w:t xml:space="preserve"> IdType = </w:t>
            </w:r>
            <w:r>
              <w:t xml:space="preserve">3 или 11.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</w:t>
            </w:r>
            <w:r>
              <w:t xml:space="preserve">полей </w:t>
            </w:r>
            <w:r>
              <w:t xml:space="preserve">«Информация по ИД»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дела или матери</w:t>
            </w:r>
            <w:r>
              <w:t xml:space="preserve">а</w:t>
            </w:r>
            <w:r>
              <w:t xml:space="preserve">лов</w:t>
            </w:r>
            <w:r/>
          </w:p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Если</w:t>
            </w:r>
            <w:r>
              <w:t xml:space="preserve"> Код вида исполнительного документа = </w:t>
            </w:r>
            <w:r>
              <w:t xml:space="preserve">10, то значение реквизита является номером, под которым исполнительная надпись нотариуса зарегистрирована в соответствующем реестре для регистрации нотариальных действий.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0" w:name="_Hlk449024133"/>
            <w:r>
              <w:t xml:space="preserve">Место рассмотрения дела</w:t>
            </w:r>
            <w:bookmarkEnd w:id="340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</w:t>
            </w:r>
            <w:r>
              <w:t xml:space="preserve"> Код вида исполнительного документа</w:t>
            </w:r>
            <w:r>
              <w:t xml:space="preserve"> </w:t>
            </w:r>
            <w:r>
              <w:t xml:space="preserve">= 3, 5, 7 или 11.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1" w:name="_Hlk449024102"/>
            <w:r>
              <w:t xml:space="preserve">Дата принятия решения по делу</w:t>
            </w:r>
            <w:bookmarkEnd w:id="341"/>
            <w:r/>
          </w:p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принятия судебного акта, акта другого органа или должн</w:t>
            </w:r>
            <w:r>
              <w:t xml:space="preserve">остного лица, на основании которого выдан исполнительный документ. Если значение реквизита «Код вида исполнительного документа» равно «10» (исполнительная надпись нотариуса), то значение реквизита является датой совершения исполнительной надписи нотариуса.</w:t>
            </w:r>
            <w:r/>
          </w:p>
          <w:p>
            <w:pPr>
              <w:pStyle w:val="969"/>
              <w:ind w:left="57" w:right="57"/>
            </w:pPr>
            <w:r>
              <w:t xml:space="preserve">Если значение реквизита «Код вида исполнительного документа» равно «2» (нотариально удостоверенное соглашение об уплате алиментов), то значение реквизита является датой заключения нотариально удостоверенного соглашения об уплате алиментов.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2" w:name="_Hlk449024300"/>
            <w:r>
              <w:t xml:space="preserve">Дата вступления решения в законную силу</w:t>
            </w:r>
            <w:bookmarkEnd w:id="342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не подлежит обязательному заполнению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3" w:name="_Hlk449024664"/>
            <w:r>
              <w:t xml:space="preserve">Срок предъявления к и</w:t>
            </w:r>
            <w:r>
              <w:t xml:space="preserve">с</w:t>
            </w:r>
            <w:r>
              <w:t xml:space="preserve">полнению</w:t>
            </w:r>
            <w:bookmarkEnd w:id="343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Срок предъявления исполнительного документа к исполнению.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 периода срока пред</w:t>
            </w:r>
            <w:r>
              <w:t xml:space="preserve">ъ</w:t>
            </w:r>
            <w:r>
              <w:t xml:space="preserve">яв</w:t>
            </w:r>
            <w:r>
              <w:t xml:space="preserve">ления ИД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4" w:name="_Hlk449024889"/>
            <w:r>
              <w:t xml:space="preserve">Выпадающий список,</w:t>
            </w:r>
            <w:r>
              <w:t xml:space="preserve"> </w:t>
            </w:r>
            <w:r>
              <w:t xml:space="preserve">значения:</w:t>
            </w:r>
            <w:r/>
          </w:p>
          <w:p>
            <w:pPr>
              <w:pStyle w:val="971"/>
            </w:pPr>
            <w:r>
              <w:t xml:space="preserve">«1»</w:t>
            </w:r>
            <w:r>
              <w:t xml:space="preserve"> – </w:t>
            </w:r>
            <w:r>
              <w:t xml:space="preserve">день;</w:t>
            </w:r>
            <w:r/>
          </w:p>
          <w:p>
            <w:pPr>
              <w:pStyle w:val="971"/>
            </w:pPr>
            <w:r>
              <w:t xml:space="preserve">«2»</w:t>
            </w:r>
            <w:r>
              <w:t xml:space="preserve"> – </w:t>
            </w:r>
            <w:r>
              <w:t xml:space="preserve">месяц;</w:t>
            </w:r>
            <w:r/>
          </w:p>
          <w:p>
            <w:pPr>
              <w:pStyle w:val="971"/>
            </w:pPr>
            <w:r>
              <w:t xml:space="preserve">«3»</w:t>
            </w:r>
            <w:r>
              <w:t xml:space="preserve"> – </w:t>
            </w:r>
            <w:r>
              <w:t xml:space="preserve">год.</w:t>
            </w:r>
            <w:bookmarkEnd w:id="344"/>
            <w:r/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Срок исполнения треб</w:t>
            </w:r>
            <w:r>
              <w:t xml:space="preserve">о</w:t>
            </w:r>
            <w:r>
              <w:t xml:space="preserve">вания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Срок исполнения исполнительного документа.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Немедленное исполнение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Выпадающий список,</w:t>
            </w:r>
            <w:r>
              <w:t xml:space="preserve"> </w:t>
            </w:r>
            <w:r>
              <w:t xml:space="preserve">значения:</w:t>
            </w:r>
            <w:r/>
          </w:p>
          <w:p>
            <w:pPr>
              <w:pStyle w:val="971"/>
            </w:pPr>
            <w:r>
              <w:t xml:space="preserve">«1»</w:t>
            </w:r>
            <w:r>
              <w:t xml:space="preserve"> – </w:t>
            </w:r>
            <w:r>
              <w:t xml:space="preserve">день;</w:t>
            </w:r>
            <w:r/>
          </w:p>
          <w:p>
            <w:pPr>
              <w:pStyle w:val="971"/>
            </w:pPr>
            <w:r>
              <w:t xml:space="preserve">«2»</w:t>
            </w:r>
            <w:r>
              <w:t xml:space="preserve"> – </w:t>
            </w:r>
            <w:r>
              <w:t xml:space="preserve">месяц;</w:t>
            </w:r>
            <w:r/>
          </w:p>
          <w:p>
            <w:pPr>
              <w:pStyle w:val="971"/>
            </w:pPr>
            <w:r>
              <w:t xml:space="preserve">«3»</w:t>
            </w:r>
            <w:r>
              <w:t xml:space="preserve"> – </w:t>
            </w:r>
            <w:r>
              <w:t xml:space="preserve">год.</w:t>
            </w:r>
            <w:r/>
          </w:p>
          <w:p>
            <w:pPr>
              <w:pStyle w:val="969"/>
              <w:ind w:left="57" w:right="57"/>
            </w:pPr>
            <w:r>
              <w:t xml:space="preserve">В ТФФ допустимы значения «false» и «true».</w:t>
            </w:r>
            <w:r/>
          </w:p>
          <w:p>
            <w:pPr>
              <w:pStyle w:val="969"/>
              <w:ind w:left="57" w:right="57"/>
            </w:pPr>
            <w:r>
              <w:t xml:space="preserve">Если в ТФФ будет True, то для </w:t>
            </w:r>
            <w:r>
              <w:t xml:space="preserve">OEBS</w:t>
            </w:r>
            <w:r>
              <w:t xml:space="preserve"> передаём Y</w:t>
            </w:r>
            <w:r>
              <w:t xml:space="preserve">, иначе – </w:t>
            </w:r>
            <w:r>
              <w:t xml:space="preserve">N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Установленные обсто</w:t>
            </w:r>
            <w:r>
              <w:t xml:space="preserve">я</w:t>
            </w:r>
            <w:r>
              <w:t xml:space="preserve">тельства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</w:t>
            </w:r>
            <w:r>
              <w:t xml:space="preserve">бстоятельства, установленные при рассмотрении дела. 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Срок для обжалования решения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</w:t>
            </w:r>
            <w:r>
              <w:t xml:space="preserve">IdType </w:t>
            </w:r>
            <w:r>
              <w:t xml:space="preserve">= 3 или 11.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</w:t>
            </w:r>
            <w:r>
              <w:t xml:space="preserve">ип пе</w:t>
            </w:r>
            <w:r>
              <w:t xml:space="preserve">риода срока обж</w:t>
            </w:r>
            <w:r>
              <w:t xml:space="preserve">а</w:t>
            </w:r>
            <w:r>
              <w:t xml:space="preserve">лования решения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SrokAppeal заполнен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Выпадающий список,</w:t>
            </w:r>
            <w:r>
              <w:t xml:space="preserve"> </w:t>
            </w:r>
            <w:r>
              <w:t xml:space="preserve">значения:</w:t>
            </w:r>
            <w:r/>
          </w:p>
          <w:p>
            <w:pPr>
              <w:pStyle w:val="971"/>
            </w:pPr>
            <w:r>
              <w:t xml:space="preserve">«</w:t>
            </w:r>
            <w:r>
              <w:t xml:space="preserve">1</w:t>
            </w:r>
            <w:r>
              <w:t xml:space="preserve">» – </w:t>
            </w:r>
            <w:r>
              <w:t xml:space="preserve">день;</w:t>
            </w:r>
            <w:r/>
          </w:p>
          <w:p>
            <w:pPr>
              <w:pStyle w:val="971"/>
            </w:pPr>
            <w:r>
              <w:t xml:space="preserve">«</w:t>
            </w:r>
            <w:r>
              <w:t xml:space="preserve">2</w:t>
            </w:r>
            <w:r>
              <w:t xml:space="preserve">» – </w:t>
            </w:r>
            <w:r>
              <w:t xml:space="preserve">месяц;</w:t>
            </w:r>
            <w:r/>
          </w:p>
          <w:p>
            <w:pPr>
              <w:pStyle w:val="971"/>
            </w:pPr>
            <w:r>
              <w:t xml:space="preserve">«</w:t>
            </w:r>
            <w:r>
              <w:t xml:space="preserve">3</w:t>
            </w:r>
            <w:r>
              <w:t xml:space="preserve">» – </w:t>
            </w:r>
            <w:r>
              <w:t xml:space="preserve">год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Порядок обжалования решения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</w:t>
            </w:r>
            <w:r>
              <w:t xml:space="preserve">орядок обжалования решения по исполнительному документу. Реквизит обязателен</w:t>
            </w:r>
            <w:r>
              <w:t xml:space="preserve"> для заполнения, если реквизит «С</w:t>
            </w:r>
            <w:r>
              <w:t xml:space="preserve">рок для обжалования решения</w:t>
            </w:r>
            <w:r>
              <w:t xml:space="preserve">»</w:t>
            </w:r>
            <w:r>
              <w:t xml:space="preserve"> заполнен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Дубликат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Допустимы значения «false» и «true».</w:t>
            </w:r>
            <w:r/>
          </w:p>
          <w:p>
            <w:pPr>
              <w:pStyle w:val="969"/>
              <w:ind w:left="57" w:right="57"/>
            </w:pPr>
            <w:r>
              <w:t xml:space="preserve">Если в ТФФ будет True, то для </w:t>
            </w:r>
            <w:r>
              <w:t xml:space="preserve">OEBS</w:t>
            </w:r>
            <w:r>
              <w:t xml:space="preserve"> передаём Y</w:t>
            </w:r>
            <w:r>
              <w:t xml:space="preserve">, иначе – </w:t>
            </w:r>
            <w:r>
              <w:t xml:space="preserve">N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 </w:t>
            </w:r>
            <w:r>
              <w:t xml:space="preserve">ОКОГУ</w:t>
            </w:r>
            <w:r>
              <w:t xml:space="preserve"> органа, выдавшего </w:t>
            </w:r>
            <w:r>
              <w:t xml:space="preserve">ИД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суда или уполномоченного органа, выдавшего исполнительный документ, по Общероссийскому </w:t>
            </w:r>
            <w:r>
              <w:t xml:space="preserve">классификатору</w:t>
            </w:r>
            <w:r>
              <w:t xml:space="preserve"> органов государственной </w:t>
            </w:r>
            <w:r>
              <w:t xml:space="preserve">власти и управления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подразделения орг</w:t>
            </w:r>
            <w:r>
              <w:t xml:space="preserve">а</w:t>
            </w:r>
            <w:r>
              <w:t xml:space="preserve">на, вы</w:t>
            </w:r>
            <w:r>
              <w:t xml:space="preserve">давшего исполн</w:t>
            </w:r>
            <w:r>
              <w:t xml:space="preserve">и</w:t>
            </w:r>
            <w:r>
              <w:t xml:space="preserve">тельный документ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подразделения орг</w:t>
            </w:r>
            <w:r>
              <w:t xml:space="preserve">а</w:t>
            </w:r>
            <w:r>
              <w:t xml:space="preserve">на, вы</w:t>
            </w:r>
            <w:r>
              <w:t xml:space="preserve">давшего исполн</w:t>
            </w:r>
            <w:r>
              <w:t xml:space="preserve">и</w:t>
            </w:r>
            <w:r>
              <w:t xml:space="preserve">тельный документ.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</w:t>
            </w:r>
            <w:r>
              <w:t xml:space="preserve">рган, в</w:t>
            </w:r>
            <w:r>
              <w:t xml:space="preserve">ыдавший ИД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</w:t>
            </w:r>
            <w:r>
              <w:t xml:space="preserve">рган, в</w:t>
            </w:r>
            <w:r>
              <w:t xml:space="preserve">ыдавший ИД.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органа, вы</w:t>
            </w:r>
            <w:r>
              <w:t xml:space="preserve">давшего ИД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органа, выдавшего исполнительный документ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должности лица, в</w:t>
            </w:r>
            <w:r>
              <w:t xml:space="preserve">ы</w:t>
            </w:r>
            <w:r>
              <w:t xml:space="preserve">несшего ИД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должности лица, вынесшего исполнительный документ, по Общероссийскому </w:t>
            </w:r>
            <w:r>
              <w:t xml:space="preserve">классификатору</w:t>
            </w:r>
            <w:r>
              <w:t xml:space="preserve"> профессий рабочих, должностей служащих и тарифных разрядов или реестру должностей федеральной государственной гражданской службы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олжность лица, вы</w:t>
            </w:r>
            <w:r>
              <w:t xml:space="preserve">не</w:t>
            </w:r>
            <w:r>
              <w:t xml:space="preserve">с</w:t>
            </w:r>
            <w:r>
              <w:t xml:space="preserve">шего ИД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должности лица, вынесшего исполнительный документ, по Общероссийскому </w:t>
            </w:r>
            <w:r>
              <w:t xml:space="preserve">классификатору</w:t>
            </w:r>
            <w:r>
              <w:t xml:space="preserve"> профессий рабочих, должностей служащих и тарифных разрядов или реестру должностей федеральной государственной гражданской службы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амилия, имя, отчество должностного лица, в</w:t>
            </w:r>
            <w:r>
              <w:t xml:space="preserve">ы</w:t>
            </w:r>
            <w:r>
              <w:t xml:space="preserve">давшего </w:t>
            </w:r>
            <w:r>
              <w:t xml:space="preserve">ИД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амилия, имя, отчество должностного лица, в</w:t>
            </w:r>
            <w:r>
              <w:t xml:space="preserve">ы</w:t>
            </w:r>
            <w:r>
              <w:t xml:space="preserve">давшего </w:t>
            </w:r>
            <w:r>
              <w:t xml:space="preserve">ИД.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</w:t>
            </w:r>
            <w:r>
              <w:t xml:space="preserve">ыдан на основании с</w:t>
            </w:r>
            <w:r>
              <w:t xml:space="preserve">у</w:t>
            </w:r>
            <w:r>
              <w:t xml:space="preserve">дебного акта, текст кот</w:t>
            </w:r>
            <w:r>
              <w:t xml:space="preserve">о</w:t>
            </w:r>
            <w:r>
              <w:t xml:space="preserve">рого не подлежит разм</w:t>
            </w:r>
            <w:r>
              <w:t xml:space="preserve">е</w:t>
            </w:r>
            <w:r>
              <w:t xml:space="preserve">щению в информационно-телекоммуникационной сети </w:t>
            </w:r>
            <w:r>
              <w:t xml:space="preserve">«</w:t>
            </w:r>
            <w:r>
              <w:t xml:space="preserve">Интернет</w:t>
            </w:r>
            <w:r>
              <w:t xml:space="preserve">»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5" w:name="_Hlk448999286"/>
            <w:r>
              <w:t xml:space="preserve">Допустимы значения «false» и «true».</w:t>
            </w:r>
            <w:r/>
          </w:p>
          <w:p>
            <w:pPr>
              <w:pStyle w:val="969"/>
              <w:ind w:left="57" w:right="57"/>
            </w:pPr>
            <w:r>
              <w:t xml:space="preserve">В </w:t>
            </w:r>
            <w:r>
              <w:t xml:space="preserve">OEBS</w:t>
            </w:r>
            <w:r>
              <w:t xml:space="preserve"> передаем: </w:t>
            </w:r>
            <w:r/>
          </w:p>
          <w:p>
            <w:pPr>
              <w:pStyle w:val="971"/>
            </w:pPr>
            <w:r>
              <w:t xml:space="preserve">«</w:t>
            </w:r>
            <w:r>
              <w:t xml:space="preserve">Y</w:t>
            </w:r>
            <w:r>
              <w:t xml:space="preserve">», </w:t>
            </w:r>
            <w:r>
              <w:t xml:space="preserve">если</w:t>
            </w:r>
            <w:r>
              <w:t xml:space="preserve"> «</w:t>
            </w:r>
            <w:r>
              <w:t xml:space="preserve">true</w:t>
            </w:r>
            <w:r>
              <w:t xml:space="preserve">», </w:t>
            </w:r>
            <w:r/>
          </w:p>
          <w:p>
            <w:pPr>
              <w:pStyle w:val="971"/>
            </w:pPr>
            <w:r>
              <w:t xml:space="preserve">«N», </w:t>
            </w:r>
            <w:r>
              <w:t xml:space="preserve">если</w:t>
            </w:r>
            <w:r>
              <w:t xml:space="preserve"> «false»</w:t>
            </w:r>
            <w:bookmarkEnd w:id="345"/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6" w:name="_Hlk449024065"/>
            <w:r>
              <w:t xml:space="preserve">К</w:t>
            </w:r>
            <w:r>
              <w:t xml:space="preserve">од предмета исполнения</w:t>
            </w:r>
            <w:bookmarkEnd w:id="346"/>
            <w:r/>
            <w:r/>
          </w:p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предмета исполнения исполнительного документа по справочнику предметов исполнения исполнительного документа, размещаемого и актуализируемого ФССП России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7" w:name="_Hlk449024060"/>
            <w:r>
              <w:t xml:space="preserve">П</w:t>
            </w:r>
            <w:r>
              <w:t xml:space="preserve">редмет исполнения</w:t>
            </w:r>
            <w:bookmarkEnd w:id="347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</w:t>
            </w:r>
            <w:r>
              <w:t xml:space="preserve">редмет исполнения исполнительного документа по справочнику предметов исполнения исполнительного документа, размещаемого и актуализируемого ФССП России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8" w:name="_Hlk449024057"/>
            <w:r>
              <w:t xml:space="preserve">П</w:t>
            </w:r>
            <w:r>
              <w:t xml:space="preserve">редмет исполнения уточненный</w:t>
            </w:r>
            <w:bookmarkEnd w:id="348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</w:t>
            </w:r>
            <w:r>
              <w:t xml:space="preserve">редмет исполнения уточненный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49" w:name="_Hlk449024055"/>
            <w:r>
              <w:t xml:space="preserve">П</w:t>
            </w:r>
            <w:r>
              <w:t xml:space="preserve">ризнак преступления (правонарушения)</w:t>
            </w:r>
            <w:bookmarkEnd w:id="349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 для заполнения, если предмет исполнения относится к уголовным штрафам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Возможные значения: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коррупционное;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террористическое;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экстремистское;</w:t>
            </w:r>
            <w:r/>
          </w:p>
          <w:p>
            <w:pPr>
              <w:pStyle w:val="971"/>
            </w:pPr>
            <w:r>
              <w:t xml:space="preserve">4 </w:t>
            </w:r>
            <w:r>
              <w:t xml:space="preserve">–</w:t>
            </w:r>
            <w:r>
              <w:t xml:space="preserve"> иное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0" w:name="_Hlk449024052"/>
            <w:r>
              <w:t xml:space="preserve">Сумма</w:t>
            </w:r>
            <w:bookmarkEnd w:id="350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</w:t>
            </w:r>
            <w:r>
              <w:t xml:space="preserve">бщая сумма требований, подлежащих взысканию по исполнительному документу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1" w:name="_Hlk449024051"/>
            <w:r>
              <w:t xml:space="preserve">К</w:t>
            </w:r>
            <w:r>
              <w:t xml:space="preserve">од по Общероссийскому </w:t>
            </w:r>
            <w:r>
              <w:t xml:space="preserve">классификатору</w:t>
            </w:r>
            <w:r>
              <w:t xml:space="preserve"> валют</w:t>
            </w:r>
            <w:bookmarkEnd w:id="351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валюты суммы взыскания по Общероссийскому </w:t>
            </w:r>
            <w:r>
              <w:t xml:space="preserve">классификатору</w:t>
            </w:r>
            <w:r>
              <w:t xml:space="preserve"> валют. Реквизит обязателен для заполнения, если заполнен реквизит </w:t>
            </w:r>
            <w:r>
              <w:t xml:space="preserve">«С</w:t>
            </w:r>
            <w:r>
              <w:t xml:space="preserve">умма</w:t>
            </w:r>
            <w:r>
              <w:t xml:space="preserve">».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2" w:name="_Hlk449024048"/>
            <w:r>
              <w:t xml:space="preserve">Т</w:t>
            </w:r>
            <w:r>
              <w:t xml:space="preserve">ип периодического н</w:t>
            </w:r>
            <w:r>
              <w:t xml:space="preserve">а</w:t>
            </w:r>
            <w:r>
              <w:t xml:space="preserve">числения долга</w:t>
            </w:r>
            <w:bookmarkEnd w:id="352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Возможные значения: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в твердой сумме ежемесячно;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доля дохода ежемесячно;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годовой процент от суммы задолженности;</w:t>
            </w:r>
            <w:r/>
          </w:p>
          <w:p>
            <w:pPr>
              <w:pStyle w:val="971"/>
            </w:pPr>
            <w:r>
              <w:t xml:space="preserve">8</w:t>
            </w:r>
            <w:r>
              <w:t xml:space="preserve"> – </w:t>
            </w:r>
            <w:r>
              <w:t xml:space="preserve">минимальный размер оплаты труда;</w:t>
            </w:r>
            <w:r/>
          </w:p>
          <w:p>
            <w:pPr>
              <w:pStyle w:val="971"/>
            </w:pPr>
            <w:r>
              <w:t xml:space="preserve">99 </w:t>
            </w:r>
            <w:r>
              <w:t xml:space="preserve">–</w:t>
            </w:r>
            <w:r>
              <w:t xml:space="preserve"> иное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3" w:name="_Hlk449024045"/>
            <w:r>
              <w:t xml:space="preserve">С</w:t>
            </w:r>
            <w:r>
              <w:t xml:space="preserve">умма или доля начисл</w:t>
            </w:r>
            <w:r>
              <w:t xml:space="preserve">е</w:t>
            </w:r>
            <w:r>
              <w:t xml:space="preserve">ния долга</w:t>
            </w:r>
            <w:bookmarkEnd w:id="353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</w:t>
            </w:r>
            <w:r>
              <w:t xml:space="preserve"> поле</w:t>
            </w:r>
            <w:r>
              <w:t xml:space="preserve"> </w:t>
            </w:r>
            <w:r>
              <w:t xml:space="preserve">Period</w:t>
            </w:r>
            <w:r>
              <w:t xml:space="preserve"> </w:t>
            </w:r>
            <w:r>
              <w:t xml:space="preserve">заполнен</w:t>
            </w:r>
            <w:r>
              <w:t xml:space="preserve">о.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4" w:name="_Hlk449024042"/>
            <w:r>
              <w:t xml:space="preserve">С</w:t>
            </w:r>
            <w:r>
              <w:t xml:space="preserve">рок выплат</w:t>
            </w:r>
            <w:bookmarkEnd w:id="354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рок выплат по исполнительному документу. Реквизит обязателен для заполнения, если реквизит </w:t>
            </w:r>
            <w:r>
              <w:t xml:space="preserve">«Т</w:t>
            </w:r>
            <w:r>
              <w:t xml:space="preserve">ип периодического начисления долга</w:t>
            </w:r>
            <w:r>
              <w:t xml:space="preserve">»</w:t>
            </w:r>
            <w:r>
              <w:t xml:space="preserve"> заполнен</w:t>
            </w:r>
            <w:r>
              <w:t xml:space="preserve">:</w:t>
            </w:r>
            <w:r/>
          </w:p>
          <w:p>
            <w:pPr>
              <w:pStyle w:val="969"/>
              <w:ind w:left="57" w:right="57"/>
            </w:pPr>
            <w:r>
              <w:t xml:space="preserve">Возможные значения: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до окончания срока выплаты;</w:t>
            </w:r>
            <w:r/>
          </w:p>
          <w:p>
            <w:pPr>
              <w:pStyle w:val="971"/>
            </w:pPr>
            <w:r>
              <w:t xml:space="preserve">2 </w:t>
            </w:r>
            <w:r>
              <w:t xml:space="preserve">–</w:t>
            </w:r>
            <w:r>
              <w:t xml:space="preserve"> пожизненно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5" w:name="_Hlk449024038"/>
            <w:r>
              <w:t xml:space="preserve">Д</w:t>
            </w:r>
            <w:r>
              <w:t xml:space="preserve">ата начала выплаты</w:t>
            </w:r>
            <w:bookmarkEnd w:id="355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</w:t>
            </w:r>
            <w:r>
              <w:t xml:space="preserve">поле</w:t>
            </w:r>
            <w:r>
              <w:t xml:space="preserve"> Period заполнен</w:t>
            </w:r>
            <w:r>
              <w:t xml:space="preserve">о.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6" w:name="_Hlk449024036"/>
            <w:r>
              <w:t xml:space="preserve">Д</w:t>
            </w:r>
            <w:r>
              <w:t xml:space="preserve">ата окончания выплаты</w:t>
            </w:r>
            <w:bookmarkEnd w:id="356"/>
            <w:r/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</w:t>
            </w:r>
            <w:r>
              <w:t xml:space="preserve">, если DaysCountSum</w:t>
            </w:r>
            <w:r>
              <w:t xml:space="preserve"> =</w:t>
            </w:r>
            <w:r>
              <w:t xml:space="preserve"> </w:t>
            </w:r>
            <w:r>
              <w:t xml:space="preserve">1.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</w:t>
            </w:r>
            <w:r>
              <w:t xml:space="preserve">полей </w:t>
            </w:r>
            <w:r>
              <w:t xml:space="preserve">«Информация о взыскателе»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Взыскатель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или фамилия, имя, отчество взыскателя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</w:t>
            </w:r>
            <w:r>
              <w:t xml:space="preserve">ип взыскателя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Возможные значения: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юридическое лицо;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физическое лицо;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индивидуальный предприниматель;</w:t>
            </w:r>
            <w:r/>
          </w:p>
          <w:p>
            <w:pPr>
              <w:pStyle w:val="971"/>
            </w:pPr>
            <w:r>
              <w:t xml:space="preserve">1700 </w:t>
            </w:r>
            <w:r>
              <w:t xml:space="preserve">–</w:t>
            </w:r>
            <w:r>
              <w:t xml:space="preserve"> Российская Федерация, субъект Российской Федерации, муниципальное образование.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</w:t>
            </w:r>
            <w:r>
              <w:t xml:space="preserve">ндивидуальный номер налогоплательщика вз</w:t>
            </w:r>
            <w:r>
              <w:t xml:space="preserve">ы</w:t>
            </w:r>
            <w:r>
              <w:t xml:space="preserve">скателя 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7" w:name="_Hlk448759223"/>
            <w:r>
              <w:t xml:space="preserve">Реквизит обязателен, если ClaimerType</w:t>
            </w:r>
            <w:r>
              <w:t xml:space="preserve"> = 1 </w:t>
            </w:r>
            <w:bookmarkEnd w:id="357"/>
            <w:r>
              <w:t xml:space="preserve">или 3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И</w:t>
            </w:r>
            <w:r>
              <w:t xml:space="preserve">дентификационный номер налогоплательщика для юридического лица</w:t>
            </w:r>
            <w:r>
              <w:t xml:space="preserve"> – </w:t>
            </w:r>
            <w:r>
              <w:t xml:space="preserve">10 цифр,</w:t>
            </w:r>
            <w:r>
              <w:t xml:space="preserve"> </w:t>
            </w:r>
            <w:r>
              <w:t xml:space="preserve">для индивидуального предпринимателя</w:t>
            </w:r>
            <w:r>
              <w:t xml:space="preserve"> – </w:t>
            </w:r>
            <w:r>
              <w:t xml:space="preserve">12 цифр.</w:t>
            </w:r>
            <w:r/>
          </w:p>
          <w:p>
            <w:pPr>
              <w:pStyle w:val="969"/>
              <w:ind w:left="57" w:right="57"/>
            </w:pPr>
            <w:r>
              <w:t xml:space="preserve">Допустимо указание </w:t>
            </w:r>
            <w:r>
              <w:t xml:space="preserve">кода</w:t>
            </w:r>
            <w:r>
              <w:t xml:space="preserve"> иностранной организации для юридического лица</w:t>
            </w:r>
            <w:r>
              <w:t xml:space="preserve"> – </w:t>
            </w:r>
            <w:r>
              <w:t xml:space="preserve">нерезидента</w:t>
            </w:r>
            <w:r>
              <w:t xml:space="preserve"> – </w:t>
            </w:r>
            <w:r>
              <w:t xml:space="preserve">5 цифр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причины постановки на учет взыскателя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bookmarkStart w:id="358" w:name="_Hlk448767592"/>
            <w:r>
              <w:t xml:space="preserve">Реквизит обязателен, если ClaimerType</w:t>
            </w:r>
            <w:r>
              <w:t xml:space="preserve"> = 1 или 3</w:t>
            </w:r>
            <w:r>
              <w:t xml:space="preserve">.</w:t>
            </w:r>
            <w:bookmarkEnd w:id="358"/>
            <w:r/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</w:t>
            </w:r>
            <w:r>
              <w:t xml:space="preserve">сновной государстве</w:t>
            </w:r>
            <w:r>
              <w:t xml:space="preserve">н</w:t>
            </w:r>
            <w:r>
              <w:t xml:space="preserve">ный регистрационный номер взыскателя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ClaimerType</w:t>
            </w:r>
            <w:r>
              <w:t xml:space="preserve"> = 1 или 3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регистрации взыск</w:t>
            </w:r>
            <w:r>
              <w:t xml:space="preserve">а</w:t>
            </w:r>
            <w:r>
              <w:t xml:space="preserve">теля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ClaimerType</w:t>
            </w:r>
            <w:r>
              <w:t xml:space="preserve"> = 1 или 3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траховой номер индив</w:t>
            </w:r>
            <w:r>
              <w:t xml:space="preserve">и</w:t>
            </w:r>
            <w:r>
              <w:t xml:space="preserve">дуального лицевого счета взыскателя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ClaimerType</w:t>
            </w:r>
            <w:r>
              <w:t xml:space="preserve"> = 2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рождения взыскат</w:t>
            </w:r>
            <w:r>
              <w:t xml:space="preserve">е</w:t>
            </w:r>
            <w:r>
              <w:t xml:space="preserve">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рождения взыскат</w:t>
            </w:r>
            <w:r>
              <w:t xml:space="preserve">е</w:t>
            </w:r>
            <w:r>
              <w:t xml:space="preserve">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</w:t>
            </w:r>
            <w:r>
              <w:t xml:space="preserve">есто рождения взыск</w:t>
            </w:r>
            <w:r>
              <w:t xml:space="preserve">а</w:t>
            </w:r>
            <w:r>
              <w:t xml:space="preserve">теля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</w:t>
            </w:r>
            <w:r>
              <w:t xml:space="preserve">есто рождения взыск</w:t>
            </w:r>
            <w:r>
              <w:t xml:space="preserve">а</w:t>
            </w:r>
            <w:r>
              <w:t xml:space="preserve">теля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Реквизит заполняется, если ClaimerType</w:t>
            </w:r>
            <w:r>
              <w:t xml:space="preserve"> </w:t>
            </w:r>
            <w:r>
              <w:t xml:space="preserve">=</w:t>
            </w:r>
            <w:r>
              <w:t xml:space="preserve"> «</w:t>
            </w:r>
            <w:r>
              <w:t xml:space="preserve">2</w:t>
            </w:r>
            <w:r>
              <w:t xml:space="preserve">» или «</w:t>
            </w:r>
            <w:r>
              <w:t xml:space="preserve">3</w:t>
            </w:r>
            <w:r>
              <w:t xml:space="preserve">»</w:t>
            </w:r>
            <w:r>
              <w:t xml:space="preserve"> </w:t>
            </w:r>
            <w:bookmarkStart w:id="359" w:name="_GoBack"/>
            <w:r/>
            <w:bookmarkEnd w:id="359"/>
            <w:r>
              <w:t xml:space="preserve">(если он известен)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взыскателя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взыскателя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взыскателя факт</w:t>
            </w:r>
            <w:r>
              <w:t xml:space="preserve">и</w:t>
            </w:r>
            <w:r>
              <w:t xml:space="preserve">ческий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актический адрес взыскателя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</w:t>
            </w:r>
            <w:r>
              <w:t xml:space="preserve">полей </w:t>
            </w:r>
            <w:r>
              <w:t xml:space="preserve">«</w:t>
            </w:r>
            <w:r>
              <w:t xml:space="preserve">Информация о должнике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Должник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или фамилия, имя, отчество должника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</w:t>
            </w:r>
            <w:r>
              <w:t xml:space="preserve">ип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Возможные значения: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юридическое лицо;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физическое лицо;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индивидуальный предприниматель;</w:t>
            </w:r>
            <w:r/>
          </w:p>
          <w:p>
            <w:pPr>
              <w:pStyle w:val="971"/>
            </w:pPr>
            <w:r>
              <w:t xml:space="preserve">1696</w:t>
            </w:r>
            <w:r>
              <w:t xml:space="preserve"> – </w:t>
            </w:r>
            <w:r>
              <w:t xml:space="preserve">Российская Федерация;</w:t>
            </w:r>
            <w:r/>
          </w:p>
          <w:p>
            <w:pPr>
              <w:pStyle w:val="971"/>
            </w:pPr>
            <w:r>
              <w:t xml:space="preserve">1681</w:t>
            </w:r>
            <w:r>
              <w:t xml:space="preserve"> – </w:t>
            </w:r>
            <w:r>
              <w:t xml:space="preserve">субъект Российской Федерации;</w:t>
            </w:r>
            <w:r/>
          </w:p>
          <w:p>
            <w:pPr>
              <w:pStyle w:val="971"/>
            </w:pPr>
            <w:r>
              <w:t xml:space="preserve">1682</w:t>
            </w:r>
            <w:r>
              <w:t xml:space="preserve"> – </w:t>
            </w:r>
            <w:r>
              <w:t xml:space="preserve">муниципальное образование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траховой номер индивид</w:t>
            </w:r>
            <w:r>
              <w:t xml:space="preserve">у</w:t>
            </w:r>
            <w:r>
              <w:t xml:space="preserve">ального лицевого счета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заполняется, если </w:t>
            </w:r>
            <w:bookmarkStart w:id="360" w:name="_Hlk448840448"/>
            <w:r>
              <w:t xml:space="preserve">DebtorType </w:t>
            </w:r>
            <w:r>
              <w:t xml:space="preserve">= 2</w:t>
            </w:r>
            <w:r>
              <w:t xml:space="preserve"> (</w:t>
            </w:r>
            <w:bookmarkEnd w:id="360"/>
            <w:r>
              <w:t xml:space="preserve">если он известен)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</w:t>
            </w:r>
            <w:r>
              <w:t xml:space="preserve">ндивидуальный номер н</w:t>
            </w:r>
            <w:r>
              <w:t xml:space="preserve">а</w:t>
            </w:r>
            <w:r>
              <w:t xml:space="preserve">логоплательщика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DebtorType </w:t>
            </w:r>
            <w:r>
              <w:t xml:space="preserve">= 1 или 3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ля юридического лица</w:t>
            </w:r>
            <w:r>
              <w:t xml:space="preserve"> – </w:t>
            </w:r>
            <w:r>
              <w:t xml:space="preserve">10 цифр,</w:t>
            </w:r>
            <w:r>
              <w:t xml:space="preserve"> </w:t>
            </w:r>
            <w:r>
              <w:t xml:space="preserve">для индивидуального предпринимателя</w:t>
            </w:r>
            <w:r>
              <w:t xml:space="preserve"> – </w:t>
            </w:r>
            <w:r>
              <w:t xml:space="preserve">12 цифр.</w:t>
            </w:r>
            <w:r/>
          </w:p>
          <w:p>
            <w:pPr>
              <w:pStyle w:val="969"/>
              <w:ind w:left="57" w:right="57"/>
            </w:pPr>
            <w:r>
              <w:t xml:space="preserve">Допустимо указание кода иностранной организации для юридического лица</w:t>
            </w:r>
            <w:r>
              <w:t xml:space="preserve"> – </w:t>
            </w:r>
            <w:r>
              <w:t xml:space="preserve">нерезидента</w:t>
            </w:r>
            <w:r>
              <w:t xml:space="preserve"> – </w:t>
            </w:r>
            <w:r>
              <w:t xml:space="preserve">5 цифр</w:t>
            </w:r>
            <w:r>
              <w:t xml:space="preserve"> или 0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причины постановки на учет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DebtorType </w:t>
            </w:r>
            <w:r>
              <w:t xml:space="preserve">= 1 или 3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ОГРН</w:t>
            </w:r>
            <w:r>
              <w:t xml:space="preserve">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DebtorType </w:t>
            </w:r>
            <w:r>
              <w:t xml:space="preserve">= 1 или 3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регистрации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DebtorType </w:t>
            </w:r>
            <w:r>
              <w:t xml:space="preserve">= 1 или 3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</w:t>
            </w:r>
            <w:r>
              <w:t xml:space="preserve">есто регистрации дол</w:t>
            </w:r>
            <w:r>
              <w:t xml:space="preserve">ж</w:t>
            </w:r>
            <w:r>
              <w:t xml:space="preserve">ника</w:t>
            </w:r>
            <w:r>
              <w:t xml:space="preserve"> – </w:t>
            </w:r>
            <w:r>
              <w:t xml:space="preserve">индивидуального предпринимателя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DebtorType </w:t>
            </w:r>
            <w:r>
              <w:t xml:space="preserve">= 3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должника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должника</w:t>
            </w:r>
            <w:r>
              <w:t xml:space="preserve"> (фактич</w:t>
            </w:r>
            <w:r>
              <w:t xml:space="preserve">е</w:t>
            </w:r>
            <w:r>
              <w:t xml:space="preserve">ский)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дрес должника</w:t>
            </w:r>
            <w:r>
              <w:t xml:space="preserve"> (фактич</w:t>
            </w:r>
            <w:r>
              <w:t xml:space="preserve">е</w:t>
            </w:r>
            <w:r>
              <w:t xml:space="preserve">ский).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рождения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обязателен, если DebtorType </w:t>
            </w:r>
            <w:r>
              <w:t xml:space="preserve">= 2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 Реквизит не подлежит обязательному заполнению в судебном приказе (за исключением судебного приказа о взыскании алиментов), исполнительной надписи нотариуса и нотариально удостоверенном соглашении об уплате алиментов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</w:t>
            </w:r>
            <w:r>
              <w:t xml:space="preserve">ол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</w:t>
            </w:r>
            <w:r>
              <w:t xml:space="preserve">ол должника. Реквизит обязателен, если DebtorType </w:t>
            </w:r>
            <w:r>
              <w:t xml:space="preserve">= 2.</w:t>
            </w:r>
            <w:r/>
          </w:p>
          <w:p>
            <w:pPr>
              <w:pStyle w:val="969"/>
              <w:ind w:left="57" w:right="57"/>
            </w:pPr>
            <w:r>
              <w:t xml:space="preserve">Возможные значения </w:t>
            </w:r>
            <w:r>
              <w:t xml:space="preserve">–</w:t>
            </w:r>
            <w:r>
              <w:t xml:space="preserve"> </w:t>
            </w:r>
            <w:r>
              <w:t xml:space="preserve">«</w:t>
            </w:r>
            <w:r>
              <w:t xml:space="preserve">мужской</w:t>
            </w:r>
            <w:r>
              <w:t xml:space="preserve">»</w:t>
            </w:r>
            <w:r>
              <w:t xml:space="preserve">, </w:t>
            </w:r>
            <w:r>
              <w:t xml:space="preserve">«</w:t>
            </w:r>
            <w:r>
              <w:t xml:space="preserve">женский</w:t>
            </w:r>
            <w:r>
              <w:t xml:space="preserve">».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страны должника 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страны гражданства или регистрации юридического лица по Общероссийскому </w:t>
            </w:r>
            <w:r>
              <w:t xml:space="preserve">классификатору</w:t>
            </w:r>
            <w:r>
              <w:t xml:space="preserve"> стран мира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</w:t>
            </w:r>
            <w:r>
              <w:t xml:space="preserve">есто рождения должника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 для заполнения, если DebtorType </w:t>
            </w:r>
            <w:r>
              <w:t xml:space="preserve">= 2</w:t>
            </w:r>
            <w:r>
              <w:t xml:space="preserve">. Реквизит не подлежит обязательному заполнению в судебном приказе (за исключением судебного приказа о взыскании алиментов), исполнительной надписи нотариуса и нотариально удостоверенном соглашении об уплате алиментов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</w:t>
            </w:r>
            <w:r>
              <w:t xml:space="preserve">дентификатор плательщ</w:t>
            </w:r>
            <w:r>
              <w:t xml:space="preserve">и</w:t>
            </w:r>
            <w:r>
              <w:t xml:space="preserve">ка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 обязателен для заполнения при перечислении задолженности в бюджет бюджетной системы Российской Федерации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ата, по состоянию на к</w:t>
            </w:r>
            <w:r>
              <w:t xml:space="preserve">о</w:t>
            </w:r>
            <w:r>
              <w:t xml:space="preserve">торую административный штраф не уплачен</w:t>
            </w:r>
            <w:r/>
          </w:p>
        </w:tc>
        <w:tc>
          <w:tcPr>
            <w:shd w:val="clear" w:color="auto" w:fill="auto"/>
            <w:tcW w:w="36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</w:t>
            </w:r>
            <w:r>
              <w:t xml:space="preserve">тметка о неуплате административного штрафа. Реквизит обязателен, если</w:t>
            </w:r>
            <w:r>
              <w:t xml:space="preserve"> </w:t>
            </w:r>
            <w:r>
              <w:t xml:space="preserve">(</w:t>
            </w:r>
            <w:r>
              <w:t xml:space="preserve">IdType </w:t>
            </w:r>
            <w:r>
              <w:t xml:space="preserve">=</w:t>
            </w:r>
            <w:r>
              <w:t xml:space="preserve"> 3 </w:t>
            </w:r>
            <w:r>
              <w:t xml:space="preserve">или </w:t>
            </w:r>
            <w:r>
              <w:t xml:space="preserve">11</w:t>
            </w:r>
            <w:r>
              <w:t xml:space="preserve">) И (</w:t>
            </w:r>
            <w:r>
              <w:t xml:space="preserve">IDCopy</w:t>
            </w:r>
            <w:r>
              <w:t xml:space="preserve"> =</w:t>
            </w:r>
            <w:r>
              <w:t xml:space="preserve"> 2</w:t>
            </w:r>
            <w:r>
              <w:t xml:space="preserve">).</w:t>
            </w:r>
            <w:r/>
          </w:p>
        </w:tc>
      </w:tr>
    </w:tbl>
    <w:p>
      <w:pPr>
        <w:pStyle w:val="958"/>
      </w:pPr>
      <w:r/>
      <w:bookmarkStart w:id="361" w:name="_Ref384843739"/>
      <w:r/>
      <w:bookmarkStart w:id="362" w:name="_Toc395611524"/>
      <w:r/>
      <w:bookmarkStart w:id="363" w:name="_Toc401059291"/>
      <w:r/>
      <w:bookmarkStart w:id="364" w:name="_Toc150758397"/>
      <w:r/>
      <w:bookmarkStart w:id="365" w:name="_Toc154485450"/>
      <w:r/>
      <w:bookmarkStart w:id="366" w:name="_Toc182196514"/>
      <w:r/>
      <w:bookmarkStart w:id="367" w:name="_Toc231633791"/>
      <w:r/>
      <w:bookmarkStart w:id="368" w:name="_Toc232827480"/>
      <w:r/>
      <w:bookmarkStart w:id="369" w:name="_Toc232827579"/>
      <w:r/>
      <w:bookmarkEnd w:id="85"/>
      <w:r/>
      <w:bookmarkEnd w:id="86"/>
      <w:r/>
      <w:bookmarkEnd w:id="87"/>
      <w:r/>
      <w:bookmarkEnd w:id="88"/>
      <w:r/>
      <w:bookmarkEnd w:id="89"/>
      <w:r>
        <w:t xml:space="preserve">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Дополнительные сведения</w:t>
      </w:r>
      <w:r>
        <w:t xml:space="preserve">» представлена на рисунке</w:t>
      </w:r>
      <w:r>
        <w:t xml:space="preserve"> </w:t>
      </w:r>
      <w:r>
        <w:fldChar w:fldCharType="begin"/>
      </w:r>
      <w:r>
        <w:instrText xml:space="preserve"> REF _Ref454808406 \h </w:instrText>
      </w:r>
      <w:r>
        <w:fldChar w:fldCharType="separate"/>
      </w:r>
      <w:r>
        <w:t xml:space="preserve">23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8772525"/>
                <wp:effectExtent l="0" t="0" r="0" b="0"/>
                <wp:docPr id="78" name="_x0000_i110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6124575" cy="877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482.25pt;height:690.75pt;mso-wrap-distance-left:0.00pt;mso-wrap-distance-top:0.00pt;mso-wrap-distance-right:0.00pt;mso-wrap-distance-bottom:0.00pt;" stroked="f">
                <v:path textboxrect="0,0,0,0"/>
                <v:imagedata r:id="rId88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70" w:name="_Ref454808406"/>
      <w:r/>
      <w:bookmarkStart w:id="371" w:name="_Toc146034983"/>
      <w:r>
        <w:t xml:space="preserve">23</w:t>
      </w:r>
      <w:bookmarkEnd w:id="370"/>
      <w:r>
        <w:fldChar w:fldCharType="end"/>
      </w:r>
      <w:r>
        <w:t xml:space="preserve">. 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Дополнительные сведения</w:t>
      </w:r>
      <w:r>
        <w:t xml:space="preserve">»</w:t>
      </w:r>
      <w:bookmarkEnd w:id="371"/>
      <w:r/>
      <w:r/>
    </w:p>
    <w:p>
      <w:pPr>
        <w:pStyle w:val="958"/>
      </w:pPr>
      <w:r>
        <w:t xml:space="preserve">Перечень</w:t>
      </w:r>
      <w:r>
        <w:t xml:space="preserve"> </w:t>
      </w:r>
      <w:r>
        <w:t xml:space="preserve">полей</w:t>
      </w:r>
      <w:r>
        <w:t xml:space="preserve"> документа «</w:t>
      </w:r>
      <w:r>
        <w:t xml:space="preserve">Исполнительный документ в форме электронного док</w:t>
      </w:r>
      <w:r>
        <w:t xml:space="preserve">у</w:t>
      </w:r>
      <w:r>
        <w:t xml:space="preserve">мента</w:t>
      </w:r>
      <w:r>
        <w:t xml:space="preserve">», закладки </w:t>
      </w:r>
      <w:r>
        <w:t xml:space="preserve">«</w:t>
      </w:r>
      <w:r>
        <w:t xml:space="preserve">Дополнительные сведения</w:t>
      </w:r>
      <w:r>
        <w:t xml:space="preserve">»</w:t>
      </w:r>
      <w:r>
        <w:t xml:space="preserve"> </w:t>
      </w:r>
      <w:r>
        <w:t xml:space="preserve">приведен в таблице</w:t>
      </w:r>
      <w:r>
        <w:t xml:space="preserve"> </w:t>
      </w:r>
      <w:r>
        <w:fldChar w:fldCharType="begin"/>
      </w:r>
      <w:r>
        <w:instrText xml:space="preserve"> REF _Ref454808832 \h </w:instrText>
      </w:r>
      <w:r>
        <w:fldChar w:fldCharType="separate"/>
      </w:r>
      <w:r>
        <w:t xml:space="preserve">10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72" w:name="_Ref454808832"/>
      <w:r/>
      <w:bookmarkStart w:id="373" w:name="_Toc146034954"/>
      <w:r>
        <w:t xml:space="preserve">10</w:t>
      </w:r>
      <w:bookmarkEnd w:id="372"/>
      <w:r>
        <w:fldChar w:fldCharType="end"/>
      </w:r>
      <w:r>
        <w:t xml:space="preserve">. Описание полей документ</w:t>
      </w:r>
      <w:r>
        <w:t xml:space="preserve">а</w:t>
      </w:r>
      <w:r>
        <w:t xml:space="preserve">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Дополнительные сведения</w:t>
      </w:r>
      <w:r>
        <w:t xml:space="preserve">»</w:t>
      </w:r>
      <w:bookmarkEnd w:id="373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6"/>
        <w:gridCol w:w="6936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4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6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«Удостоверение личности»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типа документа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вида документа, удостоверяющего личность должника</w:t>
            </w:r>
            <w:r>
              <w:t xml:space="preserve"> – </w:t>
            </w:r>
            <w:r>
              <w:t xml:space="preserve">физич</w:t>
            </w:r>
            <w:r>
              <w:t xml:space="preserve">е</w:t>
            </w:r>
            <w:r>
              <w:t xml:space="preserve">ского лица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Возможные значения:</w:t>
            </w:r>
            <w:r/>
          </w:p>
          <w:p>
            <w:pPr>
              <w:pStyle w:val="971"/>
            </w:pPr>
            <w:r>
              <w:t xml:space="preserve">01</w:t>
            </w:r>
            <w:r>
              <w:t xml:space="preserve"> – </w:t>
            </w:r>
            <w:r>
              <w:t xml:space="preserve">паспорт гражданина </w:t>
            </w:r>
            <w:r>
              <w:t xml:space="preserve">СССР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02</w:t>
            </w:r>
            <w:r>
              <w:t xml:space="preserve"> – </w:t>
            </w:r>
            <w:r>
              <w:t xml:space="preserve">заграничный паспорт гражданина </w:t>
            </w:r>
            <w:r>
              <w:t xml:space="preserve">СССР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03</w:t>
            </w:r>
            <w:r>
              <w:t xml:space="preserve"> – </w:t>
            </w:r>
            <w:r>
              <w:t xml:space="preserve">свидетельство о рождении;</w:t>
            </w:r>
            <w:r/>
          </w:p>
          <w:p>
            <w:pPr>
              <w:pStyle w:val="971"/>
            </w:pPr>
            <w:r>
              <w:t xml:space="preserve">04</w:t>
            </w:r>
            <w:r>
              <w:t xml:space="preserve"> – </w:t>
            </w:r>
            <w:r>
              <w:t xml:space="preserve">удостоверение личности офицера;</w:t>
            </w:r>
            <w:r/>
          </w:p>
          <w:p>
            <w:pPr>
              <w:pStyle w:val="971"/>
            </w:pPr>
            <w:r>
              <w:t xml:space="preserve">05</w:t>
            </w:r>
            <w:r>
              <w:t xml:space="preserve"> – </w:t>
            </w:r>
            <w:r>
              <w:t xml:space="preserve">справка об освобождении из места лишения свободы;</w:t>
            </w:r>
            <w:r/>
          </w:p>
          <w:p>
            <w:pPr>
              <w:pStyle w:val="971"/>
            </w:pPr>
            <w:r>
              <w:t xml:space="preserve">06</w:t>
            </w:r>
            <w:r>
              <w:t xml:space="preserve"> – </w:t>
            </w:r>
            <w:r>
              <w:t xml:space="preserve">паспорт Минморфлота СССР;</w:t>
            </w:r>
            <w:r/>
          </w:p>
          <w:p>
            <w:pPr>
              <w:pStyle w:val="971"/>
            </w:pPr>
            <w:r>
              <w:t xml:space="preserve">07</w:t>
            </w:r>
            <w:r>
              <w:t xml:space="preserve"> – </w:t>
            </w:r>
            <w:r>
              <w:t xml:space="preserve">военный билет солдата (матроса, сержанта, старшины);</w:t>
            </w:r>
            <w:r/>
          </w:p>
          <w:p>
            <w:pPr>
              <w:pStyle w:val="971"/>
            </w:pPr>
            <w:r>
              <w:t xml:space="preserve">08</w:t>
            </w:r>
            <w:r>
              <w:t xml:space="preserve"> – </w:t>
            </w:r>
            <w:r>
              <w:t xml:space="preserve">временное удостоверение, выданное взамен военного билета;</w:t>
            </w:r>
            <w:r/>
          </w:p>
          <w:p>
            <w:pPr>
              <w:pStyle w:val="971"/>
            </w:pPr>
            <w:r>
              <w:t xml:space="preserve">09</w:t>
            </w:r>
            <w:r>
              <w:t xml:space="preserve"> – </w:t>
            </w:r>
            <w:r>
              <w:t xml:space="preserve">дипломатический паспорт гражданина </w:t>
            </w:r>
            <w:r>
              <w:t xml:space="preserve">РФ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10</w:t>
            </w:r>
            <w:r>
              <w:t xml:space="preserve"> – </w:t>
            </w:r>
            <w:r>
              <w:t xml:space="preserve">иностранный паспорт;</w:t>
            </w:r>
            <w:r/>
          </w:p>
          <w:p>
            <w:pPr>
              <w:pStyle w:val="971"/>
            </w:pPr>
            <w:r>
              <w:t xml:space="preserve">11</w:t>
            </w:r>
            <w:r>
              <w:t xml:space="preserve"> – </w:t>
            </w:r>
            <w:r>
              <w:t xml:space="preserve">свидетельство о рассмотрении ходатайства о признании б</w:t>
            </w:r>
            <w:r>
              <w:t xml:space="preserve">е</w:t>
            </w:r>
            <w:r>
              <w:t xml:space="preserve">женцем на территории </w:t>
            </w:r>
            <w:r>
              <w:t xml:space="preserve">РФ</w:t>
            </w:r>
            <w:r>
              <w:t xml:space="preserve"> по существу;</w:t>
            </w:r>
            <w:r/>
          </w:p>
          <w:p>
            <w:pPr>
              <w:pStyle w:val="971"/>
            </w:pPr>
            <w:r>
              <w:t xml:space="preserve">12</w:t>
            </w:r>
            <w:r>
              <w:t xml:space="preserve"> – </w:t>
            </w:r>
            <w:r>
              <w:t xml:space="preserve">вид на жительство лица без гражданства;</w:t>
            </w:r>
            <w:r/>
          </w:p>
          <w:p>
            <w:pPr>
              <w:pStyle w:val="971"/>
            </w:pPr>
            <w:r>
              <w:t xml:space="preserve">13</w:t>
            </w:r>
            <w:r>
              <w:t xml:space="preserve"> – </w:t>
            </w:r>
            <w:r>
              <w:t xml:space="preserve">удостоверение беженца в </w:t>
            </w:r>
            <w:r>
              <w:t xml:space="preserve">РФ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14</w:t>
            </w:r>
            <w:r>
              <w:t xml:space="preserve"> – </w:t>
            </w:r>
            <w:r>
              <w:t xml:space="preserve">временное удостоверение личности гражданина </w:t>
            </w:r>
            <w:r>
              <w:t xml:space="preserve">РФ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19</w:t>
            </w:r>
            <w:r>
              <w:t xml:space="preserve"> – </w:t>
            </w:r>
            <w:r>
              <w:t xml:space="preserve">разрешение на временное проживание в </w:t>
            </w:r>
            <w:r>
              <w:t xml:space="preserve">РФ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20</w:t>
            </w:r>
            <w:r>
              <w:t xml:space="preserve"> – </w:t>
            </w:r>
            <w:r>
              <w:t xml:space="preserve">свидетельство о предоставлении временного убежища на те</w:t>
            </w:r>
            <w:r>
              <w:t xml:space="preserve">р</w:t>
            </w:r>
            <w:r>
              <w:t xml:space="preserve">ритории </w:t>
            </w:r>
            <w:r>
              <w:t xml:space="preserve">РФ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21</w:t>
            </w:r>
            <w:r>
              <w:t xml:space="preserve"> – </w:t>
            </w:r>
            <w:r>
              <w:t xml:space="preserve">паспорт гражданина </w:t>
            </w:r>
            <w:r>
              <w:t xml:space="preserve">РФ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22</w:t>
            </w:r>
            <w:r>
              <w:t xml:space="preserve"> – </w:t>
            </w:r>
            <w:r>
              <w:t xml:space="preserve">заграничный паспорт гражданина </w:t>
            </w:r>
            <w:r>
              <w:t xml:space="preserve">РФ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23</w:t>
            </w:r>
            <w:r>
              <w:t xml:space="preserve"> – </w:t>
            </w:r>
            <w:r>
              <w:t xml:space="preserve">свидетельство о рождении, выданное уполномоченным орг</w:t>
            </w:r>
            <w:r>
              <w:t xml:space="preserve">а</w:t>
            </w:r>
            <w:r>
              <w:t xml:space="preserve">ном иностранного государства;</w:t>
            </w:r>
            <w:r/>
          </w:p>
          <w:p>
            <w:pPr>
              <w:pStyle w:val="971"/>
            </w:pPr>
            <w:r>
              <w:t xml:space="preserve">24</w:t>
            </w:r>
            <w:r>
              <w:t xml:space="preserve"> – </w:t>
            </w:r>
            <w:r>
              <w:t xml:space="preserve">удостоверение личности военнослужащего </w:t>
            </w:r>
            <w:r>
              <w:t xml:space="preserve">РФ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26</w:t>
            </w:r>
            <w:r>
              <w:t xml:space="preserve"> – </w:t>
            </w:r>
            <w:r>
              <w:t xml:space="preserve">паспорт моряка;</w:t>
            </w:r>
            <w:r/>
          </w:p>
          <w:p>
            <w:pPr>
              <w:pStyle w:val="971"/>
            </w:pPr>
            <w:r>
              <w:t xml:space="preserve">27</w:t>
            </w:r>
            <w:r>
              <w:t xml:space="preserve"> – </w:t>
            </w:r>
            <w:r>
              <w:t xml:space="preserve">военный билет офицера запаса;</w:t>
            </w:r>
            <w:r/>
          </w:p>
          <w:p>
            <w:pPr>
              <w:pStyle w:val="971"/>
            </w:pPr>
            <w:r>
              <w:t xml:space="preserve">60</w:t>
            </w:r>
            <w:r>
              <w:t xml:space="preserve"> – </w:t>
            </w:r>
            <w:r>
              <w:t xml:space="preserve">документы, подтверждающие факт регистрации по месту ж</w:t>
            </w:r>
            <w:r>
              <w:t xml:space="preserve">и</w:t>
            </w:r>
            <w:r>
              <w:t xml:space="preserve">тельства;</w:t>
            </w:r>
            <w:r/>
          </w:p>
          <w:p>
            <w:pPr>
              <w:pStyle w:val="971"/>
            </w:pPr>
            <w:r>
              <w:t xml:space="preserve">91</w:t>
            </w:r>
            <w:r>
              <w:t xml:space="preserve"> – </w:t>
            </w:r>
            <w:r>
              <w:t xml:space="preserve">иные документы, предусмотренные законодательством </w:t>
            </w:r>
            <w:r>
              <w:t xml:space="preserve">РФ.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омер документа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омер документа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ерия документа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ерия документа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выдачи документа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выдачи документа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подразделения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Значение указывается в формате </w:t>
            </w:r>
            <w:r>
              <w:t xml:space="preserve">«</w:t>
            </w:r>
            <w:r>
              <w:t xml:space="preserve">XXX-XXX</w:t>
            </w:r>
            <w:r>
              <w:t xml:space="preserve">».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ем выдан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ем выдан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амилия, имя, отчество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амилия, имя, отчество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рождения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рождения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</w:t>
            </w:r>
            <w:r>
              <w:t xml:space="preserve">есто рождения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</w:t>
            </w:r>
            <w:r>
              <w:t xml:space="preserve">есто рождения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</w:t>
            </w:r>
            <w:r>
              <w:t xml:space="preserve">Сведения о недвижимости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</w:t>
            </w:r>
            <w:r>
              <w:t xml:space="preserve">нвентарный номер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</w:t>
            </w:r>
            <w:r>
              <w:t xml:space="preserve">нвентарный номер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омер на поэтажном плане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омер на поэтажном плане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объекта н</w:t>
            </w:r>
            <w:r>
              <w:t xml:space="preserve">е</w:t>
            </w:r>
            <w:r>
              <w:t xml:space="preserve">движимости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объекта недвижимости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Площадь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Площадь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адастровый (условный) номер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адастровый (условный) номер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</w:t>
            </w:r>
            <w:r>
              <w:t xml:space="preserve">очный адрес (месторасп</w:t>
            </w:r>
            <w:r>
              <w:t xml:space="preserve">о</w:t>
            </w:r>
            <w:r>
              <w:t xml:space="preserve">ложение)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</w:t>
            </w:r>
            <w:r>
              <w:t xml:space="preserve">очный адрес (месторасположение)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Литер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Литер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Этаж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Этаж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</w:t>
            </w:r>
            <w:r>
              <w:t xml:space="preserve">Транспортное средство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Категория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Категория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Марка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Марка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Модель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Модель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омер двигателя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омер двигателя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Цвет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Цвет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осударственный регистр</w:t>
            </w:r>
            <w:r>
              <w:t xml:space="preserve">а</w:t>
            </w:r>
            <w:r>
              <w:t xml:space="preserve">ционный знак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осударственный регистрационный знак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видетельство о регистр</w:t>
            </w:r>
            <w:r>
              <w:t xml:space="preserve">а</w:t>
            </w:r>
            <w:r>
              <w:t xml:space="preserve">ции транспортного средства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видетельство о регистрации транспортного средства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VIN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VIN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од выпуска автотран</w:t>
            </w:r>
            <w:r>
              <w:t xml:space="preserve">с</w:t>
            </w:r>
            <w:r>
              <w:t xml:space="preserve">портного средства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од выпуска автотранспортного средства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подразделения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подразделения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</w:t>
            </w:r>
            <w:r>
              <w:t xml:space="preserve">Сведения о счете должника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Счет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Счет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Валюта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Валюта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</w:t>
            </w:r>
            <w:r>
              <w:t xml:space="preserve">анковский идентификац</w:t>
            </w:r>
            <w:r>
              <w:t xml:space="preserve">и</w:t>
            </w:r>
            <w:r>
              <w:t xml:space="preserve">онный код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</w:t>
            </w:r>
            <w:r>
              <w:t xml:space="preserve">анковский идентификационный код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Л</w:t>
            </w:r>
            <w:r>
              <w:t xml:space="preserve">ицевой счет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Л</w:t>
            </w:r>
            <w:r>
              <w:t xml:space="preserve">ицевой счет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подразделения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подразделения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</w:t>
            </w:r>
            <w:r>
              <w:t xml:space="preserve">Место получения дохода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организации, фамилия, имя, отчество и</w:t>
            </w:r>
            <w:r>
              <w:t xml:space="preserve">н</w:t>
            </w:r>
            <w:r>
              <w:t xml:space="preserve">дивидуального предприн</w:t>
            </w:r>
            <w:r>
              <w:t xml:space="preserve">и</w:t>
            </w:r>
            <w:r>
              <w:t xml:space="preserve">мателя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организации, фамилия, имя, отчество индивидуального предпринимателя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Ю</w:t>
            </w:r>
            <w:r>
              <w:t xml:space="preserve">ридический адрес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Ю</w:t>
            </w:r>
            <w:r>
              <w:t xml:space="preserve">ридический адрес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актический адрес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актический адрес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</w:t>
            </w:r>
            <w:r>
              <w:t xml:space="preserve">ктуальность сведений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</w:t>
            </w:r>
            <w:r>
              <w:t xml:space="preserve">Иные лица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роли лица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роли лица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Допустимые значения: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истец (сторона);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ответчик (сторона);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подсудимый (сторона);</w:t>
            </w:r>
            <w:r/>
          </w:p>
          <w:p>
            <w:pPr>
              <w:pStyle w:val="971"/>
            </w:pPr>
            <w:r>
              <w:t xml:space="preserve">4</w:t>
            </w:r>
            <w:r>
              <w:t xml:space="preserve"> – </w:t>
            </w:r>
            <w:r>
              <w:t xml:space="preserve">лицо, подлежащее приводу в суд;</w:t>
            </w:r>
            <w:r/>
          </w:p>
          <w:p>
            <w:pPr>
              <w:pStyle w:val="971"/>
            </w:pPr>
            <w:r>
              <w:t xml:space="preserve">5</w:t>
            </w:r>
            <w:r>
              <w:t xml:space="preserve"> – </w:t>
            </w:r>
            <w:r>
              <w:t xml:space="preserve">разыскиваемое лицо по гражданскому делу;</w:t>
            </w:r>
            <w:r/>
          </w:p>
          <w:p>
            <w:pPr>
              <w:pStyle w:val="971"/>
            </w:pPr>
            <w:r>
              <w:t xml:space="preserve">6</w:t>
            </w:r>
            <w:r>
              <w:t xml:space="preserve"> – </w:t>
            </w:r>
            <w:r>
              <w:t xml:space="preserve">судья-председательствующий (состав суда);</w:t>
            </w:r>
            <w:r/>
          </w:p>
          <w:p>
            <w:pPr>
              <w:pStyle w:val="971"/>
            </w:pPr>
            <w:r>
              <w:t xml:space="preserve">7</w:t>
            </w:r>
            <w:r>
              <w:t xml:space="preserve"> – </w:t>
            </w:r>
            <w:r>
              <w:t xml:space="preserve">судья (состав суда);</w:t>
            </w:r>
            <w:r/>
          </w:p>
          <w:p>
            <w:pPr>
              <w:pStyle w:val="971"/>
            </w:pPr>
            <w:r>
              <w:t xml:space="preserve">8</w:t>
            </w:r>
            <w:r>
              <w:t xml:space="preserve"> – </w:t>
            </w:r>
            <w:r>
              <w:t xml:space="preserve">помощник судьи (состав суда);</w:t>
            </w:r>
            <w:r/>
          </w:p>
          <w:p>
            <w:pPr>
              <w:pStyle w:val="971"/>
            </w:pPr>
            <w:r>
              <w:t xml:space="preserve">9</w:t>
            </w:r>
            <w:r>
              <w:t xml:space="preserve"> – </w:t>
            </w:r>
            <w:r>
              <w:t xml:space="preserve">секретарь (состав суда);</w:t>
            </w:r>
            <w:r/>
          </w:p>
          <w:p>
            <w:pPr>
              <w:pStyle w:val="971"/>
            </w:pPr>
            <w:r>
              <w:t xml:space="preserve">10</w:t>
            </w:r>
            <w:r>
              <w:t xml:space="preserve"> – </w:t>
            </w:r>
            <w:r>
              <w:t xml:space="preserve">третье лицо;</w:t>
            </w:r>
            <w:r/>
          </w:p>
          <w:p>
            <w:pPr>
              <w:pStyle w:val="971"/>
            </w:pPr>
            <w:r>
              <w:t xml:space="preserve">11</w:t>
            </w:r>
            <w:r>
              <w:t xml:space="preserve"> – </w:t>
            </w:r>
            <w:r>
              <w:t xml:space="preserve">прокурор;</w:t>
            </w:r>
            <w:r/>
          </w:p>
          <w:p>
            <w:pPr>
              <w:pStyle w:val="971"/>
            </w:pPr>
            <w:r>
              <w:t xml:space="preserve">12</w:t>
            </w:r>
            <w:r>
              <w:t xml:space="preserve"> – </w:t>
            </w:r>
            <w:r>
              <w:t xml:space="preserve">лицо, обращающееся в суд за защитой прав, свобод и законных и</w:t>
            </w:r>
            <w:r>
              <w:t xml:space="preserve">н</w:t>
            </w:r>
            <w:r>
              <w:t xml:space="preserve">тересов других лиц;</w:t>
            </w:r>
            <w:r/>
          </w:p>
          <w:p>
            <w:pPr>
              <w:pStyle w:val="971"/>
            </w:pPr>
            <w:r>
              <w:t xml:space="preserve">13</w:t>
            </w:r>
            <w:r>
              <w:t xml:space="preserve"> – </w:t>
            </w:r>
            <w:r>
              <w:t xml:space="preserve">лицо, вступающее в процесс в целях дачи заключения (гос</w:t>
            </w:r>
            <w:r>
              <w:t xml:space="preserve">у</w:t>
            </w:r>
            <w:r>
              <w:t xml:space="preserve">дарственные органы, органы местного самоуправления);</w:t>
            </w:r>
            <w:r/>
          </w:p>
          <w:p>
            <w:pPr>
              <w:pStyle w:val="971"/>
            </w:pPr>
            <w:r>
              <w:t xml:space="preserve">14</w:t>
            </w:r>
            <w:r>
              <w:t xml:space="preserve"> – </w:t>
            </w:r>
            <w:r>
              <w:t xml:space="preserve">заявитель;</w:t>
            </w:r>
            <w:r/>
          </w:p>
          <w:p>
            <w:pPr>
              <w:pStyle w:val="971"/>
            </w:pPr>
            <w:r>
              <w:t xml:space="preserve">15</w:t>
            </w:r>
            <w:r>
              <w:t xml:space="preserve"> – </w:t>
            </w:r>
            <w:r>
              <w:t xml:space="preserve">другое заинтересованное лицо по делам особого производства и по делам, возникающим из публичных правоотношений;</w:t>
            </w:r>
            <w:r/>
          </w:p>
          <w:p>
            <w:pPr>
              <w:pStyle w:val="971"/>
            </w:pPr>
            <w:r>
              <w:t xml:space="preserve">16</w:t>
            </w:r>
            <w:r>
              <w:t xml:space="preserve"> – </w:t>
            </w:r>
            <w:r>
              <w:t xml:space="preserve">солидарный должник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амилия, имя, отчество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</w:t>
            </w:r>
            <w:r>
              <w:t xml:space="preserve">амилия, имя, отчество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Адрес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</w:t>
            </w:r>
            <w:r>
              <w:t xml:space="preserve">ндивидуальный номер н</w:t>
            </w:r>
            <w:r>
              <w:t xml:space="preserve">а</w:t>
            </w:r>
            <w:r>
              <w:t xml:space="preserve">логоплательщика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</w:t>
            </w:r>
            <w:r>
              <w:t xml:space="preserve">ндивидуальный номер н</w:t>
            </w:r>
            <w:r>
              <w:t xml:space="preserve">а</w:t>
            </w:r>
            <w:r>
              <w:t xml:space="preserve">логоплательщика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ОГРН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ОГРН.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причины постановки на учет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причины постановки на учет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</w:t>
            </w:r>
            <w:r>
              <w:t xml:space="preserve">анковский идентификац</w:t>
            </w:r>
            <w:r>
              <w:t xml:space="preserve">и</w:t>
            </w:r>
            <w:r>
              <w:t xml:space="preserve">онный код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</w:t>
            </w:r>
            <w:r>
              <w:t xml:space="preserve">анковский идентификац</w:t>
            </w:r>
            <w:r>
              <w:t xml:space="preserve">и</w:t>
            </w:r>
            <w:r>
              <w:t xml:space="preserve">онный код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траховой номер индивид</w:t>
            </w:r>
            <w:r>
              <w:t xml:space="preserve">у</w:t>
            </w:r>
            <w:r>
              <w:t xml:space="preserve">ального лицевого счета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траховой номер индивид</w:t>
            </w:r>
            <w:r>
              <w:t xml:space="preserve">у</w:t>
            </w:r>
            <w:r>
              <w:t xml:space="preserve">ального лицевого счета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Пол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Пол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рождения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</w:t>
            </w:r>
            <w:r>
              <w:t xml:space="preserve">ата рождения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</w:t>
            </w:r>
            <w:r>
              <w:t xml:space="preserve">есто рождения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М</w:t>
            </w:r>
            <w:r>
              <w:t xml:space="preserve">есто рождения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Телефон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Телефон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 </w:t>
            </w:r>
            <w:r>
              <w:t xml:space="preserve">ОКОГУ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 </w:t>
            </w:r>
            <w:r>
              <w:t xml:space="preserve">ОКОГУ.</w:t>
            </w:r>
            <w:r/>
          </w:p>
        </w:tc>
      </w:tr>
    </w:tbl>
    <w:p>
      <w:pPr>
        <w:pStyle w:val="958"/>
      </w:pPr>
      <w:r>
        <w:t xml:space="preserve">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Информация о нормативном правовом акте</w:t>
      </w:r>
      <w:r>
        <w:t xml:space="preserve">» представлена на рисунке</w:t>
      </w:r>
      <w:r>
        <w:t xml:space="preserve"> </w:t>
      </w:r>
      <w:r>
        <w:fldChar w:fldCharType="begin"/>
      </w:r>
      <w:r>
        <w:instrText xml:space="preserve"> REF _Ref454809617 \h </w:instrText>
      </w:r>
      <w:r>
        <w:fldChar w:fldCharType="separate"/>
      </w:r>
      <w:r>
        <w:t xml:space="preserve">24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4772025"/>
                <wp:effectExtent l="0" t="0" r="0" b="0"/>
                <wp:docPr id="79" name="_x0000_i110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6124575" cy="477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482.25pt;height:375.75pt;mso-wrap-distance-left:0.00pt;mso-wrap-distance-top:0.00pt;mso-wrap-distance-right:0.00pt;mso-wrap-distance-bottom:0.00pt;" stroked="f">
                <v:path textboxrect="0,0,0,0"/>
                <v:imagedata r:id="rId89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74" w:name="_Ref454809617"/>
      <w:r/>
      <w:bookmarkStart w:id="375" w:name="_Toc146034984"/>
      <w:r>
        <w:t xml:space="preserve">24</w:t>
      </w:r>
      <w:bookmarkEnd w:id="374"/>
      <w:r>
        <w:fldChar w:fldCharType="end"/>
      </w:r>
      <w:r>
        <w:t xml:space="preserve">. 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Информация о нормативном правовом акте</w:t>
      </w:r>
      <w:r>
        <w:t xml:space="preserve">»</w:t>
      </w:r>
      <w:bookmarkEnd w:id="375"/>
      <w:r/>
      <w:r/>
    </w:p>
    <w:p>
      <w:pPr>
        <w:pStyle w:val="958"/>
      </w:pPr>
      <w:r>
        <w:t xml:space="preserve">Перечень</w:t>
      </w:r>
      <w:r>
        <w:t xml:space="preserve"> </w:t>
      </w:r>
      <w:r>
        <w:t xml:space="preserve">полей</w:t>
      </w:r>
      <w:r>
        <w:t xml:space="preserve"> документа «</w:t>
      </w:r>
      <w:r>
        <w:t xml:space="preserve">Исполнительный документ в форме электронного док</w:t>
      </w:r>
      <w:r>
        <w:t xml:space="preserve">у</w:t>
      </w:r>
      <w:r>
        <w:t xml:space="preserve">мента</w:t>
      </w:r>
      <w:r>
        <w:t xml:space="preserve">», закладки </w:t>
      </w:r>
      <w:r>
        <w:t xml:space="preserve">«</w:t>
      </w:r>
      <w:r>
        <w:t xml:space="preserve">Информация о нормативном правовом акте</w:t>
      </w:r>
      <w:r>
        <w:t xml:space="preserve">»</w:t>
      </w:r>
      <w:r>
        <w:t xml:space="preserve"> </w:t>
      </w:r>
      <w:r>
        <w:t xml:space="preserve">приведен в таблице</w:t>
      </w:r>
      <w:r>
        <w:t xml:space="preserve"> </w:t>
      </w:r>
      <w:r>
        <w:fldChar w:fldCharType="begin"/>
      </w:r>
      <w:r>
        <w:instrText xml:space="preserve"> REF _Ref454809601 \h </w:instrText>
      </w:r>
      <w:r>
        <w:fldChar w:fldCharType="separate"/>
      </w:r>
      <w:r>
        <w:t xml:space="preserve">11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76" w:name="_Ref454809601"/>
      <w:r/>
      <w:bookmarkStart w:id="377" w:name="_Toc146034955"/>
      <w:r>
        <w:t xml:space="preserve">11</w:t>
      </w:r>
      <w:bookmarkEnd w:id="376"/>
      <w:r>
        <w:fldChar w:fldCharType="end"/>
      </w:r>
      <w:r>
        <w:t xml:space="preserve">. Описание полей документ</w:t>
      </w:r>
      <w:r>
        <w:t xml:space="preserve">а</w:t>
      </w:r>
      <w:r>
        <w:t xml:space="preserve">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Информация о нормативном правовом акте</w:t>
      </w:r>
      <w:r>
        <w:t xml:space="preserve">»</w:t>
      </w:r>
      <w:bookmarkEnd w:id="37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816"/>
        <w:gridCol w:w="6936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4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56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</w:t>
            </w:r>
            <w:r>
              <w:t xml:space="preserve">Информация о нормативном правовом акте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</w:t>
            </w:r>
            <w:r>
              <w:t xml:space="preserve">ип </w:t>
            </w:r>
            <w:r>
              <w:t xml:space="preserve">НПА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</w:t>
            </w:r>
            <w:r>
              <w:t xml:space="preserve">ип нормативного правов</w:t>
            </w:r>
            <w:r>
              <w:t xml:space="preserve">о</w:t>
            </w:r>
            <w:r>
              <w:t xml:space="preserve">го акта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Возможные значения: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Кодекс</w:t>
            </w:r>
            <w:r>
              <w:t xml:space="preserve"> Российской Федерации об административных правон</w:t>
            </w:r>
            <w:r>
              <w:t xml:space="preserve">а</w:t>
            </w:r>
            <w:r>
              <w:t xml:space="preserve">рушениях;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Уголовный </w:t>
            </w:r>
            <w:r>
              <w:t xml:space="preserve">кодекс</w:t>
            </w:r>
            <w:r>
              <w:t xml:space="preserve"> Российской Федерации;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нормативный правовой акт субъекта Российской Федерации;</w:t>
            </w:r>
            <w:r/>
          </w:p>
          <w:p>
            <w:pPr>
              <w:pStyle w:val="971"/>
            </w:pPr>
            <w:r>
              <w:t xml:space="preserve">4</w:t>
            </w:r>
            <w:r>
              <w:t xml:space="preserve"> – </w:t>
            </w:r>
            <w:r>
              <w:t xml:space="preserve">Федеральный </w:t>
            </w:r>
            <w:r>
              <w:t xml:space="preserve">закон</w:t>
            </w:r>
            <w:r>
              <w:t xml:space="preserve"> </w:t>
            </w:r>
            <w:r>
              <w:t xml:space="preserve">«</w:t>
            </w:r>
            <w:r>
              <w:t xml:space="preserve">Об исполнительном производстве</w:t>
            </w:r>
            <w:r>
              <w:t xml:space="preserve">»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5</w:t>
            </w:r>
            <w:r>
              <w:t xml:space="preserve"> – </w:t>
            </w:r>
            <w:r>
              <w:t xml:space="preserve">Федеральный </w:t>
            </w:r>
            <w:r>
              <w:t xml:space="preserve">закон</w:t>
            </w:r>
            <w:r>
              <w:t xml:space="preserve"> </w:t>
            </w:r>
            <w:r>
              <w:t xml:space="preserve">«</w:t>
            </w:r>
            <w:r>
              <w:t xml:space="preserve">О судебных приставах</w:t>
            </w:r>
            <w:r>
              <w:t xml:space="preserve">»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6</w:t>
            </w:r>
            <w:r>
              <w:t xml:space="preserve"> – </w:t>
            </w:r>
            <w:r>
              <w:t xml:space="preserve">другие федеральные законы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7 – Гражданский процессуальный кодекс Российской Федерации;</w:t>
            </w:r>
            <w:r/>
          </w:p>
          <w:p>
            <w:pPr>
              <w:pStyle w:val="971"/>
            </w:pPr>
            <w:r>
              <w:t xml:space="preserve">8 – Арбитражный процессуальный кодекс Российской Федерации;</w:t>
            </w:r>
            <w:r/>
          </w:p>
          <w:p>
            <w:pPr>
              <w:pStyle w:val="971"/>
            </w:pPr>
            <w:r>
              <w:t xml:space="preserve">9 – Кодекс административного судопроизводства Российской Федерации;</w:t>
            </w:r>
            <w:r/>
          </w:p>
          <w:p>
            <w:pPr>
              <w:pStyle w:val="971"/>
            </w:pPr>
            <w:r>
              <w:t xml:space="preserve">10 – Уголовно-процессуальный кодекс Российской Федерации;</w:t>
            </w:r>
            <w:r/>
          </w:p>
          <w:p>
            <w:pPr>
              <w:pStyle w:val="971"/>
            </w:pPr>
            <w:r>
              <w:t xml:space="preserve">11 – Трудовой кодекс Российской Федерации;</w:t>
            </w:r>
            <w:r/>
          </w:p>
          <w:p>
            <w:pPr>
              <w:pStyle w:val="971"/>
            </w:pPr>
            <w:r>
              <w:t xml:space="preserve">12 – Семейный кодекс Российской Федерации;</w:t>
            </w:r>
            <w:r/>
          </w:p>
          <w:p>
            <w:pPr>
              <w:pStyle w:val="971"/>
            </w:pPr>
            <w:r>
              <w:t xml:space="preserve">13 – Налоговый кодекс Российской Федерации;</w:t>
            </w:r>
            <w:r/>
          </w:p>
          <w:p>
            <w:pPr>
              <w:pStyle w:val="971"/>
            </w:pPr>
            <w:r>
              <w:t xml:space="preserve">14 – Бюджетный кодекс Российской Федерации.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</w:t>
            </w:r>
            <w:r>
              <w:t xml:space="preserve">НПА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нормативн</w:t>
            </w:r>
            <w:r>
              <w:t xml:space="preserve">о</w:t>
            </w:r>
            <w:r>
              <w:t xml:space="preserve">го правового акта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</w:t>
            </w:r>
            <w:r>
              <w:t xml:space="preserve">руппа полей </w:t>
            </w:r>
            <w:r>
              <w:t xml:space="preserve">«</w:t>
            </w:r>
            <w:r>
              <w:t xml:space="preserve">Структурная единица норм</w:t>
            </w:r>
            <w:r>
              <w:t xml:space="preserve">а</w:t>
            </w:r>
            <w:r>
              <w:t xml:space="preserve">тивного правового акта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Вид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</w:t>
            </w:r>
            <w:r>
              <w:t xml:space="preserve">ид структурной единицы: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раздел;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глава;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статья;</w:t>
            </w:r>
            <w:r/>
          </w:p>
          <w:p>
            <w:pPr>
              <w:pStyle w:val="971"/>
            </w:pPr>
            <w:r>
              <w:t xml:space="preserve">4</w:t>
            </w:r>
            <w:r>
              <w:t xml:space="preserve"> – </w:t>
            </w:r>
            <w:r>
              <w:t xml:space="preserve">параграф;</w:t>
            </w:r>
            <w:r/>
          </w:p>
          <w:p>
            <w:pPr>
              <w:pStyle w:val="971"/>
            </w:pPr>
            <w:r>
              <w:t xml:space="preserve">5</w:t>
            </w:r>
            <w:r>
              <w:t xml:space="preserve"> – </w:t>
            </w:r>
            <w:r>
              <w:t xml:space="preserve">пункт;</w:t>
            </w:r>
            <w:r/>
          </w:p>
          <w:p>
            <w:pPr>
              <w:pStyle w:val="971"/>
            </w:pPr>
            <w:r>
              <w:t xml:space="preserve">6</w:t>
            </w:r>
            <w:r>
              <w:t xml:space="preserve"> – </w:t>
            </w:r>
            <w:r>
              <w:t xml:space="preserve">подпункт;</w:t>
            </w:r>
            <w:r/>
          </w:p>
          <w:p>
            <w:pPr>
              <w:pStyle w:val="971"/>
            </w:pPr>
            <w:r>
              <w:t xml:space="preserve">7</w:t>
            </w:r>
            <w:r>
              <w:t xml:space="preserve"> – </w:t>
            </w:r>
            <w:r>
              <w:t xml:space="preserve">часть;</w:t>
            </w:r>
            <w:r/>
          </w:p>
          <w:p>
            <w:pPr>
              <w:pStyle w:val="971"/>
            </w:pPr>
            <w:r>
              <w:t xml:space="preserve">8</w:t>
            </w:r>
            <w:r>
              <w:t xml:space="preserve"> – </w:t>
            </w:r>
            <w:r>
              <w:t xml:space="preserve">абзац;</w:t>
            </w:r>
            <w:r/>
          </w:p>
          <w:p>
            <w:pPr>
              <w:pStyle w:val="971"/>
            </w:pPr>
            <w:r>
              <w:t xml:space="preserve">9 </w:t>
            </w:r>
            <w:r>
              <w:t xml:space="preserve">–</w:t>
            </w:r>
            <w:r>
              <w:t xml:space="preserve"> приложение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4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Основная структурная ед</w:t>
            </w:r>
            <w:r>
              <w:t xml:space="preserve">и</w:t>
            </w:r>
            <w:r>
              <w:t xml:space="preserve">ница</w:t>
            </w:r>
            <w:r/>
          </w:p>
        </w:tc>
        <w:tc>
          <w:tcPr>
            <w:shd w:val="clear" w:color="auto" w:fill="auto"/>
            <w:tcW w:w="35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Допустимы значения «false» и «true».</w:t>
            </w:r>
            <w:r/>
          </w:p>
          <w:p>
            <w:pPr>
              <w:pStyle w:val="969"/>
              <w:ind w:left="57" w:right="57"/>
            </w:pPr>
            <w:r>
              <w:t xml:space="preserve">В </w:t>
            </w:r>
            <w:r>
              <w:t xml:space="preserve">OEBS</w:t>
            </w:r>
            <w:r>
              <w:t xml:space="preserve"> передается:</w:t>
            </w:r>
            <w:r/>
          </w:p>
          <w:p>
            <w:pPr>
              <w:pStyle w:val="971"/>
            </w:pPr>
            <w:r>
              <w:t xml:space="preserve">«</w:t>
            </w:r>
            <w:r>
              <w:t xml:space="preserve">Y</w:t>
            </w:r>
            <w:r>
              <w:t xml:space="preserve">», </w:t>
            </w:r>
            <w:r>
              <w:t xml:space="preserve">если</w:t>
            </w:r>
            <w:r>
              <w:t xml:space="preserve"> «</w:t>
            </w:r>
            <w:r>
              <w:t xml:space="preserve">true</w:t>
            </w:r>
            <w:r>
              <w:t xml:space="preserve">»</w:t>
            </w:r>
            <w:r>
              <w:t xml:space="preserve">;</w:t>
            </w:r>
            <w:r>
              <w:t xml:space="preserve"> </w:t>
            </w:r>
            <w:r/>
          </w:p>
          <w:p>
            <w:pPr>
              <w:pStyle w:val="971"/>
            </w:pPr>
            <w:r>
              <w:t xml:space="preserve">«</w:t>
            </w:r>
            <w:r>
              <w:t xml:space="preserve">N», </w:t>
            </w:r>
            <w:r>
              <w:t xml:space="preserve">если</w:t>
            </w:r>
            <w:r>
              <w:t xml:space="preserve"> «false»</w:t>
            </w:r>
            <w:r>
              <w:t xml:space="preserve">.</w:t>
            </w:r>
            <w:r/>
          </w:p>
        </w:tc>
      </w:tr>
    </w:tbl>
    <w:p>
      <w:pPr>
        <w:pStyle w:val="958"/>
      </w:pPr>
      <w:r>
        <w:t xml:space="preserve">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Реквизиты счета для перечисления задолженности</w:t>
      </w:r>
      <w:r>
        <w:t xml:space="preserve">» представлена на рисунке</w:t>
      </w:r>
      <w:r>
        <w:t xml:space="preserve"> </w:t>
      </w:r>
      <w:r>
        <w:fldChar w:fldCharType="begin"/>
      </w:r>
      <w:r>
        <w:instrText xml:space="preserve"> REF _Ref454810266 \h </w:instrText>
      </w:r>
      <w:r>
        <w:fldChar w:fldCharType="separate"/>
      </w:r>
      <w:r>
        <w:t xml:space="preserve">25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1543050"/>
                <wp:effectExtent l="0" t="0" r="0" b="0"/>
                <wp:docPr id="80" name="_x0000_i110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6124575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482.25pt;height:121.50pt;mso-wrap-distance-left:0.00pt;mso-wrap-distance-top:0.00pt;mso-wrap-distance-right:0.00pt;mso-wrap-distance-bottom:0.00pt;" stroked="f">
                <v:path textboxrect="0,0,0,0"/>
                <v:imagedata r:id="rId90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78" w:name="_Ref454810266"/>
      <w:r/>
      <w:bookmarkStart w:id="379" w:name="_Toc146034985"/>
      <w:r>
        <w:t xml:space="preserve">25</w:t>
      </w:r>
      <w:bookmarkEnd w:id="378"/>
      <w:r>
        <w:fldChar w:fldCharType="end"/>
      </w:r>
      <w:r>
        <w:t xml:space="preserve">. 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Реквизиты счета для перечисления задолженности</w:t>
      </w:r>
      <w:r>
        <w:t xml:space="preserve">»</w:t>
      </w:r>
      <w:bookmarkEnd w:id="379"/>
      <w:r/>
      <w:r/>
    </w:p>
    <w:p>
      <w:pPr>
        <w:pStyle w:val="958"/>
      </w:pPr>
      <w:r>
        <w:t xml:space="preserve">Перечень</w:t>
      </w:r>
      <w:r>
        <w:t xml:space="preserve"> </w:t>
      </w:r>
      <w:r>
        <w:t xml:space="preserve">полей</w:t>
      </w:r>
      <w:r>
        <w:t xml:space="preserve"> документа «</w:t>
      </w:r>
      <w:r>
        <w:t xml:space="preserve">Исполнительный документ в форме электронного док</w:t>
      </w:r>
      <w:r>
        <w:t xml:space="preserve">у</w:t>
      </w:r>
      <w:r>
        <w:t xml:space="preserve">мента</w:t>
      </w:r>
      <w:r>
        <w:t xml:space="preserve">», закладки </w:t>
      </w:r>
      <w:r>
        <w:t xml:space="preserve">«</w:t>
      </w:r>
      <w:r>
        <w:t xml:space="preserve">Реквизиты счета для перечисления задолженности</w:t>
      </w:r>
      <w:r>
        <w:t xml:space="preserve">»</w:t>
      </w:r>
      <w:r>
        <w:t xml:space="preserve"> </w:t>
      </w:r>
      <w:r>
        <w:t xml:space="preserve">приведен в таблице</w:t>
      </w:r>
      <w:r>
        <w:t xml:space="preserve"> </w:t>
      </w:r>
      <w:r>
        <w:fldChar w:fldCharType="begin"/>
      </w:r>
      <w:r>
        <w:instrText xml:space="preserve"> REF _Ref454810279 \h </w:instrText>
      </w:r>
      <w:r>
        <w:fldChar w:fldCharType="separate"/>
      </w:r>
      <w:r>
        <w:t xml:space="preserve">12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80" w:name="_Ref454810279"/>
      <w:r/>
      <w:bookmarkStart w:id="381" w:name="_Toc146034956"/>
      <w:r>
        <w:t xml:space="preserve">12</w:t>
      </w:r>
      <w:bookmarkEnd w:id="380"/>
      <w:r>
        <w:fldChar w:fldCharType="end"/>
      </w:r>
      <w:r>
        <w:t xml:space="preserve">. Описание полей документ</w:t>
      </w:r>
      <w:r>
        <w:t xml:space="preserve">а</w:t>
      </w:r>
      <w:r>
        <w:t xml:space="preserve">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</w:t>
      </w:r>
      <w:r>
        <w:t xml:space="preserve">«</w:t>
      </w:r>
      <w:r>
        <w:t xml:space="preserve">Реквизиты счета для перечисления задолженности</w:t>
      </w:r>
      <w:r>
        <w:t xml:space="preserve">»</w:t>
      </w:r>
      <w:bookmarkEnd w:id="381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8"/>
        <w:gridCol w:w="5494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3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17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Реквизиты банковского счета взыскателя, на который должны быть перечислены средства, подлеж</w:t>
            </w:r>
            <w:r>
              <w:t xml:space="preserve">а</w:t>
            </w:r>
            <w:r>
              <w:t xml:space="preserve">щие взысканию. Реквизит обязателен для заполнения в случае:</w:t>
            </w:r>
            <w:r/>
          </w:p>
          <w:p>
            <w:pPr>
              <w:pStyle w:val="971"/>
            </w:pPr>
            <w:r>
              <w:t xml:space="preserve">если обращение взыскания производится на средства бюджетов бюджетной системы Росси</w:t>
            </w:r>
            <w:r>
              <w:t xml:space="preserve">й</w:t>
            </w:r>
            <w:r>
              <w:t xml:space="preserve">ской Федерации на основании судебного приказа;</w:t>
            </w:r>
            <w:r/>
          </w:p>
          <w:p>
            <w:pPr>
              <w:pStyle w:val="971"/>
            </w:pPr>
            <w:r>
              <w:t xml:space="preserve">присуждения компенсации за нарушение права на судопроизводство в разумный срок или права на исполнение судебного акта в разумный срок на основании решения арбитражного суда;</w:t>
            </w:r>
            <w:r/>
          </w:p>
          <w:p>
            <w:pPr>
              <w:pStyle w:val="971"/>
            </w:pPr>
            <w:r>
              <w:t xml:space="preserve">наложения административного штрафа и значения реквизита «Код вида исполнительного док</w:t>
            </w:r>
            <w:r>
              <w:t xml:space="preserve">у</w:t>
            </w:r>
            <w:r>
              <w:t xml:space="preserve">мента» равном одному из значений:</w:t>
            </w:r>
            <w:r/>
          </w:p>
          <w:p>
            <w:pPr>
              <w:pStyle w:val="971"/>
            </w:pPr>
            <w:r>
              <w:t xml:space="preserve">3 – акт по делу об административном правонарушении;</w:t>
            </w:r>
            <w:r/>
          </w:p>
          <w:p>
            <w:pPr>
              <w:pStyle w:val="971"/>
            </w:pPr>
            <w:r>
              <w:t xml:space="preserve">11 – судебный акт по делу об административном правонарушении.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получателя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получателя</w:t>
            </w:r>
            <w:r>
              <w:t xml:space="preserve">.</w:t>
            </w:r>
            <w:r>
              <w:t xml:space="preserve"> </w:t>
            </w:r>
            <w:r>
              <w:t xml:space="preserve">Реквизит не подлежит обязательному заполнению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 </w:t>
            </w:r>
            <w:r>
              <w:t xml:space="preserve">ОКТМО</w:t>
            </w:r>
            <w:r>
              <w:t xml:space="preserve"> получателя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од по </w:t>
            </w:r>
            <w:r>
              <w:t xml:space="preserve">ОКТМО</w:t>
            </w:r>
            <w:r>
              <w:t xml:space="preserve"> получателя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ИНН</w:t>
            </w:r>
            <w:r>
              <w:t xml:space="preserve"> получателя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ИНН</w:t>
            </w:r>
            <w:r>
              <w:t xml:space="preserve"> получателя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КПП</w:t>
            </w:r>
            <w:r>
              <w:t xml:space="preserve"> получателя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КПП</w:t>
            </w:r>
            <w:r>
              <w:t xml:space="preserve"> получателя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чет получателя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</w:t>
            </w:r>
            <w:r>
              <w:t xml:space="preserve">чет получателя</w:t>
            </w:r>
            <w:r>
              <w:t xml:space="preserve">.</w:t>
            </w:r>
            <w:r>
              <w:t xml:space="preserve"> </w:t>
            </w:r>
            <w:r>
              <w:t xml:space="preserve">Реквизит не подлежит обязательному заполнению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орреспондентский счет банка получателя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</w:t>
            </w:r>
            <w:r>
              <w:t xml:space="preserve">орреспондентский счет банка получателя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Л</w:t>
            </w:r>
            <w:r>
              <w:t xml:space="preserve">ицевой счет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Л</w:t>
            </w:r>
            <w:r>
              <w:t xml:space="preserve">ицевой счет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банка пол</w:t>
            </w:r>
            <w:r>
              <w:t xml:space="preserve">у</w:t>
            </w:r>
            <w:r>
              <w:t xml:space="preserve">чателя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</w:t>
            </w:r>
            <w:r>
              <w:t xml:space="preserve">аименование банка пол</w:t>
            </w:r>
            <w:r>
              <w:t xml:space="preserve">у</w:t>
            </w:r>
            <w:r>
              <w:t xml:space="preserve">чателя</w:t>
            </w:r>
            <w:r>
              <w:t xml:space="preserve">.</w:t>
            </w:r>
            <w:r>
              <w:t xml:space="preserve"> </w:t>
            </w:r>
            <w:r>
              <w:t xml:space="preserve">Реквизит не подлежит обязательному заполнению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</w:t>
            </w:r>
            <w:r>
              <w:t xml:space="preserve">анковский идентификац</w:t>
            </w:r>
            <w:r>
              <w:t xml:space="preserve">и</w:t>
            </w:r>
            <w:r>
              <w:t xml:space="preserve">онный код банка получателя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</w:t>
            </w:r>
            <w:r>
              <w:t xml:space="preserve">анковский идентификац</w:t>
            </w:r>
            <w:r>
              <w:t xml:space="preserve">и</w:t>
            </w:r>
            <w:r>
              <w:t xml:space="preserve">онный код банка получателя</w:t>
            </w:r>
            <w:r>
              <w:t xml:space="preserve">.</w:t>
            </w:r>
            <w:r>
              <w:t xml:space="preserve"> </w:t>
            </w:r>
            <w:r>
              <w:t xml:space="preserve">Реквизит не подлежит обязательному заполнению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Сумма</w:t>
            </w:r>
            <w:r>
              <w:t xml:space="preserve">.</w:t>
            </w:r>
            <w:r>
              <w:t xml:space="preserve"> </w:t>
            </w:r>
            <w:r>
              <w:t xml:space="preserve">Реквизит не подлежит обязательному заполнению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КБК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КБК.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</w:t>
            </w:r>
            <w:r>
              <w:t xml:space="preserve">оказатель типа платежа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</w:t>
            </w:r>
            <w:r>
              <w:t xml:space="preserve">оказатель типа платежа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218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УИН</w:t>
            </w:r>
            <w:r/>
          </w:p>
        </w:tc>
        <w:tc>
          <w:tcPr>
            <w:shd w:val="clear" w:color="auto" w:fill="auto"/>
            <w:tcW w:w="28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</w:t>
            </w:r>
            <w:r>
              <w:t xml:space="preserve">никальный идентификатор начисления</w:t>
            </w:r>
            <w:r>
              <w:t xml:space="preserve">.</w:t>
            </w:r>
            <w:r/>
          </w:p>
        </w:tc>
      </w:tr>
    </w:tbl>
    <w:p>
      <w:pPr>
        <w:pStyle w:val="958"/>
      </w:pPr>
      <w:r>
        <w:t xml:space="preserve">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«Результаты импорта» представлена на рисунке</w:t>
      </w:r>
      <w:r>
        <w:t xml:space="preserve"> </w:t>
      </w:r>
      <w:r>
        <w:fldChar w:fldCharType="begin"/>
      </w:r>
      <w:r>
        <w:instrText xml:space="preserve"> REF _Ref478110337 \h </w:instrText>
      </w:r>
      <w:r>
        <w:fldChar w:fldCharType="separate"/>
      </w:r>
      <w:r>
        <w:t xml:space="preserve">26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009775"/>
                <wp:effectExtent l="0" t="0" r="0" b="0"/>
                <wp:docPr id="81" name="_x0000_i110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6124575" cy="200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482.25pt;height:158.25pt;mso-wrap-distance-left:0.00pt;mso-wrap-distance-top:0.00pt;mso-wrap-distance-right:0.00pt;mso-wrap-distance-bottom:0.00pt;" stroked="f">
                <v:path textboxrect="0,0,0,0"/>
                <v:imagedata r:id="rId91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82" w:name="_Ref478110337"/>
      <w:r/>
      <w:bookmarkStart w:id="383" w:name="_Toc146034986"/>
      <w:r>
        <w:t xml:space="preserve">26</w:t>
      </w:r>
      <w:bookmarkEnd w:id="382"/>
      <w:r>
        <w:fldChar w:fldCharType="end"/>
      </w:r>
      <w:r>
        <w:t xml:space="preserve">. 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«Результаты импорта»</w:t>
      </w:r>
      <w:bookmarkEnd w:id="383"/>
      <w:r/>
      <w:r/>
    </w:p>
    <w:p>
      <w:pPr>
        <w:pStyle w:val="958"/>
      </w:pPr>
      <w:r>
        <w:t xml:space="preserve">На з</w:t>
      </w:r>
      <w:r>
        <w:t xml:space="preserve">акладк</w:t>
      </w:r>
      <w:r>
        <w:t xml:space="preserve">е</w:t>
      </w:r>
      <w:r>
        <w:t xml:space="preserve"> «Результаты импорта»</w:t>
      </w:r>
      <w:r>
        <w:t xml:space="preserve"> </w:t>
      </w:r>
      <w:r>
        <w:t xml:space="preserve">содержатся</w:t>
      </w:r>
      <w:r>
        <w:t xml:space="preserve"> сообщения о результатах контроля при импорте документа</w:t>
      </w:r>
      <w:r>
        <w:t xml:space="preserve">.</w:t>
      </w:r>
      <w:r/>
    </w:p>
    <w:p>
      <w:pPr>
        <w:pStyle w:val="958"/>
      </w:pPr>
      <w:r>
        <w:t xml:space="preserve">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«Протоколы» представлена на рисунке</w:t>
      </w:r>
      <w:r>
        <w:t xml:space="preserve"> </w:t>
      </w:r>
      <w:r>
        <w:fldChar w:fldCharType="begin"/>
      </w:r>
      <w:r>
        <w:instrText xml:space="preserve"> REF _Ref478110336 \h </w:instrText>
      </w:r>
      <w:r>
        <w:fldChar w:fldCharType="separate"/>
      </w:r>
      <w:r>
        <w:t xml:space="preserve">27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1924050"/>
                <wp:effectExtent l="0" t="0" r="0" b="0"/>
                <wp:docPr id="82" name="_x0000_i110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612457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482.25pt;height:151.50pt;mso-wrap-distance-left:0.00pt;mso-wrap-distance-top:0.00pt;mso-wrap-distance-right:0.00pt;mso-wrap-distance-bottom:0.00pt;" stroked="f">
                <v:path textboxrect="0,0,0,0"/>
                <v:imagedata r:id="rId92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84" w:name="_Ref478110336"/>
      <w:r/>
      <w:bookmarkStart w:id="385" w:name="_Toc146034987"/>
      <w:r>
        <w:t xml:space="preserve">27</w:t>
      </w:r>
      <w:bookmarkEnd w:id="384"/>
      <w:r>
        <w:fldChar w:fldCharType="end"/>
      </w:r>
      <w:r>
        <w:t xml:space="preserve">. ЭФ документа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«Протоколы»</w:t>
      </w:r>
      <w:bookmarkEnd w:id="385"/>
      <w:r/>
      <w:r/>
    </w:p>
    <w:p>
      <w:pPr>
        <w:pStyle w:val="958"/>
      </w:pPr>
      <w:r>
        <w:t xml:space="preserve">Перечень</w:t>
      </w:r>
      <w:r>
        <w:t xml:space="preserve"> </w:t>
      </w:r>
      <w:r>
        <w:t xml:space="preserve">полей</w:t>
      </w:r>
      <w:r>
        <w:t xml:space="preserve"> документа «</w:t>
      </w:r>
      <w:r>
        <w:t xml:space="preserve">Исполнительный документ в форме электронного док</w:t>
      </w:r>
      <w:r>
        <w:t xml:space="preserve">у</w:t>
      </w:r>
      <w:r>
        <w:t xml:space="preserve">мента</w:t>
      </w:r>
      <w:r>
        <w:t xml:space="preserve">», закладки «Протоколы»</w:t>
      </w:r>
      <w:r>
        <w:t xml:space="preserve"> </w:t>
      </w:r>
      <w:r>
        <w:t xml:space="preserve">приведен в таблице</w:t>
      </w:r>
      <w:r>
        <w:t xml:space="preserve"> </w:t>
      </w:r>
      <w:r>
        <w:fldChar w:fldCharType="begin"/>
      </w:r>
      <w:r>
        <w:instrText xml:space="preserve"> REF _Ref478110335 \h </w:instrText>
      </w:r>
      <w:r>
        <w:fldChar w:fldCharType="separate"/>
      </w:r>
      <w:r>
        <w:t xml:space="preserve">13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86" w:name="_Ref478110335"/>
      <w:r/>
      <w:bookmarkStart w:id="387" w:name="_Toc146034957"/>
      <w:r>
        <w:t xml:space="preserve">13</w:t>
      </w:r>
      <w:bookmarkEnd w:id="386"/>
      <w:r>
        <w:fldChar w:fldCharType="end"/>
      </w:r>
      <w:r>
        <w:t xml:space="preserve">. Описание полей документ</w:t>
      </w:r>
      <w:r>
        <w:t xml:space="preserve">а</w:t>
      </w:r>
      <w:r>
        <w:t xml:space="preserve"> </w:t>
      </w:r>
      <w:r>
        <w:t xml:space="preserve">«</w:t>
      </w:r>
      <w:r>
        <w:t xml:space="preserve">Исполнительный документ в форме электронного документа</w:t>
      </w:r>
      <w:r>
        <w:t xml:space="preserve">», закладки «Протоколы»</w:t>
      </w:r>
      <w:bookmarkEnd w:id="38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177"/>
        <w:gridCol w:w="6575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29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71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shd w:val="clear" w:color="auto" w:fill="auto"/>
            <w:tcW w:w="1629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Рег.номер</w:t>
            </w:r>
            <w:r/>
          </w:p>
        </w:tc>
        <w:tc>
          <w:tcPr>
            <w:shd w:val="clear" w:color="auto" w:fill="auto"/>
            <w:tcW w:w="337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Регистрационный номер</w:t>
            </w:r>
            <w:r>
              <w:t xml:space="preserve">, </w:t>
            </w:r>
            <w:r>
              <w:t xml:space="preserve">связанн</w:t>
            </w:r>
            <w:r>
              <w:t xml:space="preserve">ого</w:t>
            </w:r>
            <w:r>
              <w:t xml:space="preserve"> протокол</w:t>
            </w:r>
            <w:r>
              <w:t xml:space="preserve">а по документу.</w:t>
            </w:r>
            <w:r/>
          </w:p>
        </w:tc>
      </w:tr>
      <w:tr>
        <w:tblPrEx/>
        <w:trPr/>
        <w:tc>
          <w:tcPr>
            <w:shd w:val="clear" w:color="auto" w:fill="auto"/>
            <w:tcW w:w="1629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Рег.дата</w:t>
            </w:r>
            <w:r/>
          </w:p>
        </w:tc>
        <w:tc>
          <w:tcPr>
            <w:shd w:val="clear" w:color="auto" w:fill="auto"/>
            <w:tcW w:w="3371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Регистрационная дата</w:t>
            </w:r>
            <w:r>
              <w:t xml:space="preserve">, </w:t>
            </w:r>
            <w:r>
              <w:t xml:space="preserve">связанн</w:t>
            </w:r>
            <w:r>
              <w:t xml:space="preserve">ого</w:t>
            </w:r>
            <w:r>
              <w:t xml:space="preserve"> протокол</w:t>
            </w:r>
            <w:r>
              <w:t xml:space="preserve">а по документу.</w:t>
            </w:r>
            <w:r/>
          </w:p>
        </w:tc>
      </w:tr>
    </w:tbl>
    <w:p>
      <w:pPr>
        <w:pStyle w:val="935"/>
      </w:pPr>
      <w:r/>
      <w:bookmarkStart w:id="388" w:name="_Toc356219081"/>
      <w:r/>
      <w:bookmarkStart w:id="389" w:name="_Toc409434445"/>
      <w:r/>
      <w:bookmarkStart w:id="390" w:name="_Toc413138523"/>
      <w:r/>
      <w:bookmarkStart w:id="391" w:name="_Toc146034938"/>
      <w:r>
        <w:t xml:space="preserve">Группа документов «Ведение справочника участников бюджетного процесса»</w:t>
      </w:r>
      <w:bookmarkEnd w:id="388"/>
      <w:r/>
      <w:bookmarkEnd w:id="389"/>
      <w:r/>
      <w:bookmarkEnd w:id="390"/>
      <w:r/>
      <w:bookmarkEnd w:id="391"/>
      <w:r/>
      <w:r/>
    </w:p>
    <w:p>
      <w:pPr>
        <w:pStyle w:val="936"/>
      </w:pPr>
      <w:r/>
      <w:bookmarkStart w:id="392" w:name="_Ref413229060"/>
      <w:r/>
      <w:bookmarkStart w:id="393" w:name="_Toc146034939"/>
      <w:r>
        <w:t xml:space="preserve">Сообщение об изменении реквизитов Л/С для ФНС</w:t>
      </w:r>
      <w:bookmarkEnd w:id="392"/>
      <w:r/>
      <w:bookmarkEnd w:id="393"/>
      <w:r/>
      <w:r/>
    </w:p>
    <w:p>
      <w:pPr>
        <w:pStyle w:val="958"/>
      </w:pPr>
      <w:r>
        <w:t xml:space="preserve">Документ «Сообщение об изменении реквизитов Л/С для ФНС» предназначен для обеспечения электронного документооборота между органами Федерального казначейства и </w:t>
      </w:r>
      <w:r>
        <w:t xml:space="preserve">налоговыми органами в части передачи сообщений об открытии, закрытии и изменении лицевых счетов клиентов в соответствии с ТФФ ФНС с применением электронной подписи в прикладном программном обеспечении «Автоматизированная система Федерального казначейства».</w:t>
      </w:r>
      <w:r/>
    </w:p>
    <w:p>
      <w:pPr>
        <w:pStyle w:val="958"/>
      </w:pPr>
      <w:r>
        <w:t xml:space="preserve">Для работы с документами «</w:t>
      </w:r>
      <w:r>
        <w:t xml:space="preserve">Сообщение об изменении реквизитов Л/С для ФНС» следует перейти в пункт меню «Документы – Ведение справочника участников бюджетного процесса – Сообщение об изменении реквизитов Л/С для ФНС». Откроется ЭФ списка документов, представленная на рисунке</w:t>
      </w:r>
      <w:r>
        <w:t xml:space="preserve"> </w:t>
      </w:r>
      <w:r>
        <w:fldChar w:fldCharType="begin"/>
      </w:r>
      <w:r>
        <w:instrText xml:space="preserve"> REF _Ref413226473 \h </w:instrText>
      </w:r>
      <w:r>
        <w:fldChar w:fldCharType="separate"/>
      </w:r>
      <w:r>
        <w:t xml:space="preserve">28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647950"/>
                <wp:effectExtent l="0" t="0" r="0" b="0"/>
                <wp:docPr id="83" name="_x0000_i110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6124575" cy="2647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482.25pt;height:208.50pt;mso-wrap-distance-left:0.00pt;mso-wrap-distance-top:0.00pt;mso-wrap-distance-right:0.00pt;mso-wrap-distance-bottom:0.00pt;" stroked="f">
                <v:path textboxrect="0,0,0,0"/>
                <v:imagedata r:id="rId93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94" w:name="_Ref413226473"/>
      <w:r/>
      <w:bookmarkStart w:id="395" w:name="_Toc146034988"/>
      <w:r>
        <w:t xml:space="preserve">28</w:t>
      </w:r>
      <w:bookmarkEnd w:id="394"/>
      <w:r>
        <w:fldChar w:fldCharType="end"/>
      </w:r>
      <w:r>
        <w:t xml:space="preserve">. ЭФ списка документов «Сообщение об изменении реквизитов Л/С для ФНС»</w:t>
      </w:r>
      <w:bookmarkEnd w:id="395"/>
      <w:r/>
      <w:r/>
    </w:p>
    <w:p>
      <w:pPr>
        <w:pStyle w:val="937"/>
      </w:pPr>
      <w:r>
        <w:t xml:space="preserve">Доступные операции</w:t>
      </w:r>
      <w:r/>
    </w:p>
    <w:p>
      <w:pPr>
        <w:pStyle w:val="959"/>
      </w:pPr>
      <w:r>
        <w:t xml:space="preserve">На АРМ Разные участники ЭОД доступны следующие операции над документом:</w:t>
      </w:r>
      <w:r/>
    </w:p>
    <w:p>
      <w:pPr>
        <w:pStyle w:val="949"/>
      </w:pPr>
      <w:r>
        <w:t xml:space="preserve">просмотр;</w:t>
      </w:r>
      <w:r/>
    </w:p>
    <w:p>
      <w:pPr>
        <w:pStyle w:val="949"/>
      </w:pPr>
      <w:r>
        <w:t xml:space="preserve">проверка </w:t>
      </w:r>
      <w:r>
        <w:t xml:space="preserve">ЭП</w:t>
      </w:r>
      <w:r>
        <w:t xml:space="preserve">;</w:t>
      </w:r>
      <w:r/>
    </w:p>
    <w:p>
      <w:pPr>
        <w:pStyle w:val="949"/>
      </w:pPr>
      <w:r>
        <w:t xml:space="preserve">печать;</w:t>
      </w:r>
      <w:r/>
    </w:p>
    <w:p>
      <w:pPr>
        <w:pStyle w:val="949"/>
      </w:pPr>
      <w:r>
        <w:t xml:space="preserve">экспорт в ФНС.</w:t>
      </w:r>
      <w:r/>
    </w:p>
    <w:p>
      <w:pPr>
        <w:pStyle w:val="937"/>
      </w:pPr>
      <w:r>
        <w:t xml:space="preserve">Экранная форма документа</w:t>
      </w:r>
      <w:r/>
    </w:p>
    <w:p>
      <w:pPr>
        <w:pStyle w:val="958"/>
      </w:pPr>
      <w:r>
        <w:t xml:space="preserve">ЭФ документа «Сообщение об изменении реквизитов Л/С для ФНС» представлена на рисунке </w:t>
      </w:r>
      <w:r>
        <w:fldChar w:fldCharType="begin"/>
      </w:r>
      <w:r>
        <w:instrText xml:space="preserve"> REF _Ref413226293 \h </w:instrText>
      </w:r>
      <w:r>
        <w:fldChar w:fldCharType="separate"/>
      </w:r>
      <w:r>
        <w:t xml:space="preserve">29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4657725"/>
                <wp:effectExtent l="0" t="0" r="0" b="0"/>
                <wp:docPr id="84" name="_x0000_i110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6124575" cy="465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482.25pt;height:366.75pt;mso-wrap-distance-left:0.00pt;mso-wrap-distance-top:0.00pt;mso-wrap-distance-right:0.00pt;mso-wrap-distance-bottom:0.00pt;" stroked="f">
                <v:path textboxrect="0,0,0,0"/>
                <v:imagedata r:id="rId94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96" w:name="_Ref413226293"/>
      <w:r/>
      <w:bookmarkStart w:id="397" w:name="_Toc146034989"/>
      <w:r>
        <w:t xml:space="preserve">29</w:t>
      </w:r>
      <w:bookmarkEnd w:id="396"/>
      <w:r>
        <w:fldChar w:fldCharType="end"/>
      </w:r>
      <w:r>
        <w:t xml:space="preserve">. ЭФ документа «Сообщение об изменении реквизитов Л/С для ФНС»</w:t>
      </w:r>
      <w:bookmarkEnd w:id="397"/>
      <w:r/>
      <w:r/>
    </w:p>
    <w:p>
      <w:pPr>
        <w:pStyle w:val="958"/>
      </w:pPr>
      <w:r>
        <w:t xml:space="preserve">Перечень</w:t>
      </w:r>
      <w:r>
        <w:t xml:space="preserve"> </w:t>
      </w:r>
      <w:r>
        <w:t xml:space="preserve">полей документа </w:t>
      </w:r>
      <w:r>
        <w:t xml:space="preserve">«Сообщение об изменении реквизитов Л/С для ФНС»</w:t>
      </w:r>
      <w:r>
        <w:t xml:space="preserve"> </w:t>
      </w:r>
      <w:r>
        <w:t xml:space="preserve">приведен в таблице</w:t>
      </w:r>
      <w:r>
        <w:t xml:space="preserve"> </w:t>
      </w:r>
      <w:r>
        <w:fldChar w:fldCharType="begin"/>
      </w:r>
      <w:r>
        <w:instrText xml:space="preserve"> REF _Ref413226474 \h </w:instrText>
      </w:r>
      <w:r>
        <w:fldChar w:fldCharType="separate"/>
      </w:r>
      <w:r>
        <w:t xml:space="preserve">14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398" w:name="_Ref413226474"/>
      <w:r/>
      <w:bookmarkStart w:id="399" w:name="_Toc146034958"/>
      <w:r>
        <w:t xml:space="preserve">14</w:t>
      </w:r>
      <w:bookmarkEnd w:id="398"/>
      <w:r>
        <w:fldChar w:fldCharType="end"/>
      </w:r>
      <w:r>
        <w:t xml:space="preserve">. Описание полей документа «Сообщение об изменении реквизитов Л/С для ФНС»</w:t>
      </w:r>
      <w:bookmarkEnd w:id="39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458"/>
        <w:gridCol w:w="6294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3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«Общие сведения»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сообщения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сообщения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 сообщения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Возможно</w:t>
            </w:r>
            <w:r>
              <w:t xml:space="preserve">е значени</w:t>
            </w:r>
            <w:r>
              <w:t xml:space="preserve">е</w:t>
            </w:r>
            <w:r>
              <w:t xml:space="preserve">:</w:t>
            </w:r>
            <w:r/>
          </w:p>
          <w:p>
            <w:pPr>
              <w:pStyle w:val="971"/>
            </w:pPr>
            <w:r>
              <w:t xml:space="preserve">3</w:t>
            </w:r>
            <w:r>
              <w:t xml:space="preserve"> – </w:t>
            </w:r>
            <w:r>
              <w:t xml:space="preserve">сообщение об </w:t>
            </w:r>
            <w:r>
              <w:t xml:space="preserve">изменении</w:t>
            </w:r>
            <w:r>
              <w:t xml:space="preserve"> реквизитов лицевого счета.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налогового органа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Должность исполнителя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ФИО исполнителя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Телефон исполнителя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  <w:keepNext/>
            </w:pPr>
            <w:r>
              <w:t xml:space="preserve">Группа полей «Сведения об органе ФК, осуществляющем открытие и ведение Л/С»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ИНН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КПП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КОФК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«Сведения о Л/С»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Л/С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открытия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внесения изменений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организации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ИНН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КПП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ОГРН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«Сведения о Л/С до изменения»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Л/С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ИНН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ОГРН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</w:tbl>
    <w:p>
      <w:pPr>
        <w:pStyle w:val="936"/>
      </w:pPr>
      <w:r/>
      <w:bookmarkStart w:id="400" w:name="_Ref413229066"/>
      <w:r/>
      <w:bookmarkStart w:id="401" w:name="_Toc146034940"/>
      <w:r>
        <w:t xml:space="preserve">Сообщение об открытии/закрытии Л/С для ФНС</w:t>
      </w:r>
      <w:bookmarkEnd w:id="400"/>
      <w:r/>
      <w:bookmarkEnd w:id="401"/>
      <w:r/>
      <w:r/>
    </w:p>
    <w:p>
      <w:pPr>
        <w:pStyle w:val="958"/>
      </w:pPr>
      <w:r>
        <w:t xml:space="preserve">Документ «Сообщение об открытии/закрытии Л/С для ФНС» предназначен для обеспечения электронного документооборота между органами Федерального казначейства и </w:t>
      </w:r>
      <w:r>
        <w:t xml:space="preserve">налоговыми органами в части передачи сообщений об открытии, закрытии и изменении лицевых счетов клиентов в соответствии с ТФФ ФНС с применением электронной подписи в прикладном программном обеспечении «Автоматизированная система Федерального казначейства».</w:t>
      </w:r>
      <w:r/>
    </w:p>
    <w:p>
      <w:pPr>
        <w:pStyle w:val="958"/>
      </w:pPr>
      <w:r>
        <w:t xml:space="preserve">Для работы с документами «</w:t>
      </w:r>
      <w:r>
        <w:t xml:space="preserve">Сообщение об открытии/закрытии Л/С для ФНС» следует перейти в пункт меню «Документы – Ведение справочника участников бюджетного процесса – Сообщение об открытии/закрытии Л/С для ФНС». Откроется ЭФ списка документов, представленная на рисунке</w:t>
      </w:r>
      <w:r>
        <w:t xml:space="preserve"> </w:t>
      </w:r>
      <w:r>
        <w:fldChar w:fldCharType="begin"/>
      </w:r>
      <w:r>
        <w:instrText xml:space="preserve"> REF _Ref413228738 \h </w:instrText>
      </w:r>
      <w:r>
        <w:fldChar w:fldCharType="separate"/>
      </w:r>
      <w:r>
        <w:t xml:space="preserve">30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3295650"/>
                <wp:effectExtent l="0" t="0" r="0" b="0"/>
                <wp:docPr id="85" name="_x0000_i110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6124575" cy="329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482.25pt;height:259.50pt;mso-wrap-distance-left:0.00pt;mso-wrap-distance-top:0.00pt;mso-wrap-distance-right:0.00pt;mso-wrap-distance-bottom:0.00pt;" stroked="f">
                <v:path textboxrect="0,0,0,0"/>
                <v:imagedata r:id="rId95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02" w:name="_Ref413228738"/>
      <w:r/>
      <w:bookmarkStart w:id="403" w:name="_Toc146034990"/>
      <w:r>
        <w:t xml:space="preserve">30</w:t>
      </w:r>
      <w:bookmarkEnd w:id="402"/>
      <w:r>
        <w:fldChar w:fldCharType="end"/>
      </w:r>
      <w:r>
        <w:t xml:space="preserve">. ЭФ списка документов «Сообщение об открытии/закрытии Л/С для ФНС»</w:t>
      </w:r>
      <w:bookmarkEnd w:id="403"/>
      <w:r/>
      <w:r/>
    </w:p>
    <w:p>
      <w:pPr>
        <w:pStyle w:val="937"/>
      </w:pPr>
      <w:r>
        <w:t xml:space="preserve">Доступные операции</w:t>
      </w:r>
      <w:r/>
    </w:p>
    <w:p>
      <w:pPr>
        <w:pStyle w:val="959"/>
      </w:pPr>
      <w:r>
        <w:t xml:space="preserve">На АРМ Разные участники ЭОД доступны следующие операции над документом:</w:t>
      </w:r>
      <w:r/>
    </w:p>
    <w:p>
      <w:pPr>
        <w:pStyle w:val="949"/>
      </w:pPr>
      <w:r>
        <w:t xml:space="preserve">просмотр;</w:t>
      </w:r>
      <w:r/>
    </w:p>
    <w:p>
      <w:pPr>
        <w:pStyle w:val="949"/>
      </w:pPr>
      <w:r>
        <w:t xml:space="preserve">проверка </w:t>
      </w:r>
      <w:r>
        <w:t xml:space="preserve">ЭП</w:t>
      </w:r>
      <w:r>
        <w:t xml:space="preserve">;</w:t>
      </w:r>
      <w:r/>
    </w:p>
    <w:p>
      <w:pPr>
        <w:pStyle w:val="949"/>
      </w:pPr>
      <w:r>
        <w:t xml:space="preserve">печать;</w:t>
      </w:r>
      <w:r/>
    </w:p>
    <w:p>
      <w:pPr>
        <w:pStyle w:val="949"/>
      </w:pPr>
      <w:r>
        <w:t xml:space="preserve">экспорт в ФНС.</w:t>
      </w:r>
      <w:r/>
    </w:p>
    <w:p>
      <w:pPr>
        <w:pStyle w:val="937"/>
      </w:pPr>
      <w:r>
        <w:t xml:space="preserve">Экранная форма документа</w:t>
      </w:r>
      <w:r/>
    </w:p>
    <w:p>
      <w:pPr>
        <w:pStyle w:val="958"/>
      </w:pPr>
      <w:r>
        <w:t xml:space="preserve">ЭФ документа «Сообщение об открытии/закрытии Л/С для ФНС» представлена на рисунке </w:t>
      </w:r>
      <w:r>
        <w:fldChar w:fldCharType="begin"/>
      </w:r>
      <w:r>
        <w:instrText xml:space="preserve"> REF _Ref413228169 \h </w:instrText>
      </w:r>
      <w:r>
        <w:fldChar w:fldCharType="separate"/>
      </w:r>
      <w:r>
        <w:t xml:space="preserve">31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4029075"/>
                <wp:effectExtent l="0" t="0" r="0" b="0"/>
                <wp:docPr id="86" name="_x0000_i11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6124575" cy="402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482.25pt;height:317.25pt;mso-wrap-distance-left:0.00pt;mso-wrap-distance-top:0.00pt;mso-wrap-distance-right:0.00pt;mso-wrap-distance-bottom:0.00pt;" stroked="f">
                <v:path textboxrect="0,0,0,0"/>
                <v:imagedata r:id="rId96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04" w:name="_Ref413228169"/>
      <w:r/>
      <w:bookmarkStart w:id="405" w:name="_Toc146034991"/>
      <w:r>
        <w:t xml:space="preserve">31</w:t>
      </w:r>
      <w:bookmarkEnd w:id="404"/>
      <w:r>
        <w:fldChar w:fldCharType="end"/>
      </w:r>
      <w:r>
        <w:t xml:space="preserve">. ЭФ документа «Сообщение об открытии/закрытии Л/С для ФНС»</w:t>
      </w:r>
      <w:bookmarkEnd w:id="405"/>
      <w:r/>
      <w:r/>
    </w:p>
    <w:p>
      <w:pPr>
        <w:pStyle w:val="958"/>
      </w:pPr>
      <w:r>
        <w:t xml:space="preserve">Перечень</w:t>
      </w:r>
      <w:r>
        <w:t xml:space="preserve"> </w:t>
      </w:r>
      <w:r>
        <w:t xml:space="preserve">полей </w:t>
      </w:r>
      <w:r>
        <w:t xml:space="preserve">документа «Сообщение об открытии/закрытии Л/С для ФНС»</w:t>
      </w:r>
      <w:r>
        <w:t xml:space="preserve"> </w:t>
      </w:r>
      <w:r>
        <w:t xml:space="preserve">приведен в таблице</w:t>
      </w:r>
      <w:r>
        <w:t xml:space="preserve"> </w:t>
      </w:r>
      <w:r>
        <w:fldChar w:fldCharType="begin"/>
      </w:r>
      <w:r>
        <w:instrText xml:space="preserve"> REF _Ref413228739 \h </w:instrText>
      </w:r>
      <w:r>
        <w:fldChar w:fldCharType="separate"/>
      </w:r>
      <w:r>
        <w:t xml:space="preserve">15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06" w:name="_Ref413228739"/>
      <w:r/>
      <w:bookmarkStart w:id="407" w:name="_Toc146034959"/>
      <w:r>
        <w:t xml:space="preserve">15</w:t>
      </w:r>
      <w:bookmarkEnd w:id="406"/>
      <w:r>
        <w:fldChar w:fldCharType="end"/>
      </w:r>
      <w:r>
        <w:t xml:space="preserve">. Описание полей документа «Сообщение об открытии/закрытии Л/С для ФНС»</w:t>
      </w:r>
      <w:bookmarkEnd w:id="407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458"/>
        <w:gridCol w:w="6294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73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27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«Общие сведения»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сообщения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сообщения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 сообщения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Возможные значения:</w:t>
            </w:r>
            <w:r/>
          </w:p>
          <w:p>
            <w:pPr>
              <w:pStyle w:val="971"/>
            </w:pPr>
            <w:r>
              <w:t xml:space="preserve">1</w:t>
            </w:r>
            <w:r>
              <w:t xml:space="preserve"> – </w:t>
            </w:r>
            <w:r>
              <w:t xml:space="preserve">сообщение об открытии лицевого счета;</w:t>
            </w:r>
            <w:r/>
          </w:p>
          <w:p>
            <w:pPr>
              <w:pStyle w:val="971"/>
            </w:pPr>
            <w:r>
              <w:t xml:space="preserve">2</w:t>
            </w:r>
            <w:r>
              <w:t xml:space="preserve"> – </w:t>
            </w:r>
            <w:r>
              <w:t xml:space="preserve">сообщение о закрытии лицевого счета.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налогового органа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Должность исполнителя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ФИО исполнителя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Телефон исполнителя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«Сведения об органе ФК, осуществляющем открытие и ведение Л/С»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ИНН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КПП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КОФК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«Сведения о Л/С»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Л/С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открытия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закрытия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организации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ИНН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КПП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773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ОГРН</w:t>
            </w:r>
            <w:r/>
          </w:p>
        </w:tc>
        <w:tc>
          <w:tcPr>
            <w:shd w:val="clear" w:color="auto" w:fill="auto"/>
            <w:tcW w:w="322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Импорт из </w:t>
            </w:r>
            <w:r>
              <w:t xml:space="preserve">ППО OEBS АСФК</w:t>
            </w:r>
            <w:r>
              <w:t xml:space="preserve">.</w:t>
            </w:r>
            <w:r/>
          </w:p>
        </w:tc>
      </w:tr>
    </w:tbl>
    <w:p>
      <w:pPr>
        <w:pStyle w:val="935"/>
      </w:pPr>
      <w:r/>
      <w:bookmarkStart w:id="408" w:name="_Toc146034941"/>
      <w:r>
        <w:t xml:space="preserve">Группа документов </w:t>
      </w:r>
      <w:r>
        <w:t xml:space="preserve">«</w:t>
      </w:r>
      <w:r>
        <w:t xml:space="preserve">Произвольные</w:t>
      </w:r>
      <w:r>
        <w:t xml:space="preserve">»</w:t>
      </w:r>
      <w:bookmarkEnd w:id="361"/>
      <w:r/>
      <w:bookmarkEnd w:id="362"/>
      <w:r/>
      <w:bookmarkEnd w:id="363"/>
      <w:r/>
      <w:bookmarkEnd w:id="408"/>
      <w:r>
        <w:t xml:space="preserve"> </w:t>
      </w:r>
      <w:r/>
    </w:p>
    <w:p>
      <w:pPr>
        <w:pStyle w:val="936"/>
      </w:pPr>
      <w:r/>
      <w:bookmarkStart w:id="409" w:name="_Ref299370996"/>
      <w:r/>
      <w:bookmarkStart w:id="410" w:name="_Toc395611525"/>
      <w:r/>
      <w:bookmarkStart w:id="411" w:name="_Toc401059292"/>
      <w:r/>
      <w:bookmarkStart w:id="412" w:name="_Toc146034942"/>
      <w:r>
        <w:t xml:space="preserve">Информационное сообщение</w:t>
      </w:r>
      <w:bookmarkEnd w:id="409"/>
      <w:r/>
      <w:bookmarkEnd w:id="410"/>
      <w:r/>
      <w:bookmarkEnd w:id="411"/>
      <w:r/>
      <w:bookmarkEnd w:id="412"/>
      <w:r/>
      <w:r/>
    </w:p>
    <w:p>
      <w:pPr>
        <w:pStyle w:val="958"/>
      </w:pPr>
      <w:r>
        <w:t xml:space="preserve">Документ </w:t>
      </w:r>
      <w:r>
        <w:t xml:space="preserve">«</w:t>
      </w:r>
      <w:r>
        <w:t xml:space="preserve">Информационное сообщение</w:t>
      </w:r>
      <w:r>
        <w:t xml:space="preserve">»</w:t>
      </w:r>
      <w:r>
        <w:t xml:space="preserve"> предназначен для доставки из вышестоящей системы писем и иных сообщений в виде приложенных файлов.</w:t>
      </w:r>
      <w:r/>
    </w:p>
    <w:p>
      <w:pPr>
        <w:pStyle w:val="958"/>
      </w:pPr>
      <w:r>
        <w:t xml:space="preserve">Информационные сообщения формируются в учетной системе ЦАФК или УФК и доводятся через УФК и ОФК до остальных УБП.</w:t>
      </w:r>
      <w:r/>
    </w:p>
    <w:p>
      <w:pPr>
        <w:pStyle w:val="958"/>
      </w:pPr>
      <w:r>
        <w:t xml:space="preserve">Документ доставляется из </w:t>
      </w:r>
      <w:r>
        <w:rPr>
          <w:lang w:val="en-US"/>
        </w:rPr>
        <w:t xml:space="preserve">OEBS</w:t>
      </w:r>
      <w:r>
        <w:t xml:space="preserve"> </w:t>
      </w:r>
      <w:r>
        <w:t xml:space="preserve">в СУФД со статусом </w:t>
      </w:r>
      <w:r>
        <w:t xml:space="preserve">«</w:t>
      </w:r>
      <w:r>
        <w:t xml:space="preserve">003</w:t>
      </w:r>
      <w:r>
        <w:t xml:space="preserve">»</w:t>
      </w:r>
      <w:r>
        <w:t xml:space="preserve"> (Зарегистрировано) или </w:t>
      </w:r>
      <w:r>
        <w:t xml:space="preserve">«</w:t>
      </w:r>
      <w:r>
        <w:t xml:space="preserve">004</w:t>
      </w:r>
      <w:r>
        <w:t xml:space="preserve">»</w:t>
      </w:r>
      <w:r>
        <w:t xml:space="preserve"> (Проведено). Статус в дальнейшем не меняется.</w:t>
      </w:r>
      <w:r/>
    </w:p>
    <w:p>
      <w:pPr>
        <w:pStyle w:val="958"/>
      </w:pPr>
      <w:r>
        <w:t xml:space="preserve">Для работы с входящими документами «Информационное сообщение» следует перейти</w:t>
      </w:r>
      <w:r>
        <w:t xml:space="preserve"> в пункт меню</w:t>
      </w:r>
      <w:r>
        <w:t xml:space="preserve"> «</w:t>
      </w:r>
      <w:r>
        <w:t xml:space="preserve">Документы</w:t>
      </w:r>
      <w:r>
        <w:t xml:space="preserve"> – </w:t>
      </w:r>
      <w:r>
        <w:t xml:space="preserve">Произвольные</w:t>
      </w:r>
      <w:r>
        <w:t xml:space="preserve"> – </w:t>
      </w:r>
      <w:r>
        <w:t xml:space="preserve">Информационные сообщения</w:t>
      </w:r>
      <w:r>
        <w:t xml:space="preserve"> – </w:t>
      </w:r>
      <w:r>
        <w:t xml:space="preserve">Информационное сообщение</w:t>
      </w:r>
      <w:r>
        <w:t xml:space="preserve"> (входящие)»</w:t>
      </w:r>
      <w:r>
        <w:t xml:space="preserve">. Откроется ЭФ списка документов, представленная на рисунке</w:t>
      </w:r>
      <w:r>
        <w:t xml:space="preserve"> </w:t>
      </w:r>
      <w:r>
        <w:fldChar w:fldCharType="begin"/>
      </w:r>
      <w:r>
        <w:instrText xml:space="preserve"> REF _Ref396135188 \h </w:instrText>
      </w:r>
      <w:r>
        <w:fldChar w:fldCharType="separate"/>
      </w:r>
      <w:r>
        <w:t xml:space="preserve">32</w:t>
      </w:r>
      <w:r>
        <w:fldChar w:fldCharType="end"/>
      </w:r>
      <w:r>
        <w:t xml:space="preserve">.</w:t>
      </w:r>
      <w:r/>
    </w:p>
    <w:p>
      <w:pPr>
        <w:pStyle w:val="958"/>
      </w:pPr>
      <w:r>
        <w:t xml:space="preserve">Для работы с исходящими документами </w:t>
      </w:r>
      <w:r>
        <w:t xml:space="preserve">«</w:t>
      </w:r>
      <w:r>
        <w:t xml:space="preserve">Информационное сообщение</w:t>
      </w:r>
      <w:r>
        <w:t xml:space="preserve">»</w:t>
      </w:r>
      <w:r>
        <w:t xml:space="preserve"> следует пере</w:t>
      </w:r>
      <w:r>
        <w:t xml:space="preserve">й</w:t>
      </w:r>
      <w:r>
        <w:t xml:space="preserve">ти в пункт меню</w:t>
      </w:r>
      <w:r>
        <w:t xml:space="preserve"> «</w:t>
      </w:r>
      <w:r>
        <w:t xml:space="preserve">Документы</w:t>
      </w:r>
      <w:r>
        <w:t xml:space="preserve"> – </w:t>
      </w:r>
      <w:r>
        <w:t xml:space="preserve">Произвольные</w:t>
      </w:r>
      <w:r>
        <w:t xml:space="preserve"> – </w:t>
      </w:r>
      <w:r>
        <w:t xml:space="preserve">Информационные сообщения</w:t>
      </w:r>
      <w:r>
        <w:t xml:space="preserve"> – </w:t>
      </w:r>
      <w:r>
        <w:t xml:space="preserve">Информац</w:t>
      </w:r>
      <w:r>
        <w:t xml:space="preserve">и</w:t>
      </w:r>
      <w:r>
        <w:t xml:space="preserve">онное сообщение</w:t>
      </w:r>
      <w:r>
        <w:t xml:space="preserve"> (исходящие)»</w:t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838450"/>
                <wp:effectExtent l="0" t="0" r="0" b="0"/>
                <wp:docPr id="87" name="_x0000_i11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6124575" cy="283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482.25pt;height:223.50pt;mso-wrap-distance-left:0.00pt;mso-wrap-distance-top:0.00pt;mso-wrap-distance-right:0.00pt;mso-wrap-distance-bottom:0.00pt;" stroked="f">
                <v:path textboxrect="0,0,0,0"/>
                <v:imagedata r:id="rId97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13" w:name="_Ref396135188"/>
      <w:r/>
      <w:bookmarkStart w:id="414" w:name="_Toc146034992"/>
      <w:r>
        <w:t xml:space="preserve">32</w:t>
      </w:r>
      <w:bookmarkEnd w:id="413"/>
      <w:r>
        <w:fldChar w:fldCharType="end"/>
      </w:r>
      <w:r>
        <w:t xml:space="preserve">. ЭФ списка </w:t>
      </w:r>
      <w:r>
        <w:t xml:space="preserve">входящих </w:t>
      </w:r>
      <w:r>
        <w:t xml:space="preserve">документов </w:t>
      </w:r>
      <w:r>
        <w:t xml:space="preserve">«</w:t>
      </w:r>
      <w:r>
        <w:t xml:space="preserve">Информационное сообщение</w:t>
      </w:r>
      <w:r>
        <w:t xml:space="preserve">»</w:t>
      </w:r>
      <w:bookmarkEnd w:id="414"/>
      <w:r/>
      <w:r/>
    </w:p>
    <w:p>
      <w:pPr>
        <w:pStyle w:val="937"/>
      </w:pPr>
      <w:r>
        <w:t xml:space="preserve">Доступные операции</w:t>
      </w:r>
      <w:r/>
    </w:p>
    <w:p>
      <w:pPr>
        <w:pStyle w:val="959"/>
      </w:pPr>
      <w:r>
        <w:t xml:space="preserve">На </w:t>
      </w:r>
      <w:r>
        <w:t xml:space="preserve">АРМ </w:t>
      </w:r>
      <w:r>
        <w:t xml:space="preserve">Разные участники ЭОД </w:t>
      </w:r>
      <w:r>
        <w:t xml:space="preserve">доступны следующие операции над </w:t>
      </w:r>
      <w:r>
        <w:t xml:space="preserve">документо</w:t>
      </w:r>
      <w:r>
        <w:t xml:space="preserve">м</w:t>
      </w:r>
      <w:r>
        <w:t xml:space="preserve">:</w:t>
      </w:r>
      <w:r/>
    </w:p>
    <w:p>
      <w:pPr>
        <w:pStyle w:val="949"/>
      </w:pPr>
      <w:r>
        <w:t xml:space="preserve">Для исходящих документов:</w:t>
      </w:r>
      <w:r/>
    </w:p>
    <w:p>
      <w:pPr>
        <w:pStyle w:val="950"/>
      </w:pPr>
      <w:r>
        <w:t xml:space="preserve">ручной </w:t>
      </w:r>
      <w:r>
        <w:t xml:space="preserve">ввод;</w:t>
      </w:r>
      <w:r/>
    </w:p>
    <w:p>
      <w:pPr>
        <w:pStyle w:val="950"/>
      </w:pPr>
      <w:r>
        <w:t xml:space="preserve">просмотр и редактирование;</w:t>
      </w:r>
      <w:r/>
    </w:p>
    <w:p>
      <w:pPr>
        <w:pStyle w:val="950"/>
      </w:pPr>
      <w:r>
        <w:t xml:space="preserve">отмена и удаление документа;</w:t>
      </w:r>
      <w:r/>
    </w:p>
    <w:p>
      <w:pPr>
        <w:pStyle w:val="950"/>
      </w:pPr>
      <w:r>
        <w:t xml:space="preserve">подписание</w:t>
      </w:r>
      <w:r>
        <w:t xml:space="preserve">, просмотр и снятие</w:t>
      </w:r>
      <w:r>
        <w:t xml:space="preserve"> Э</w:t>
      </w:r>
      <w:r>
        <w:t xml:space="preserve">П;</w:t>
      </w:r>
      <w:r/>
    </w:p>
    <w:p>
      <w:pPr>
        <w:pStyle w:val="950"/>
      </w:pPr>
      <w:r>
        <w:t xml:space="preserve">печать;</w:t>
      </w:r>
      <w:r/>
    </w:p>
    <w:p>
      <w:pPr>
        <w:pStyle w:val="950"/>
      </w:pPr>
      <w:r>
        <w:t xml:space="preserve">отправка в УФК</w:t>
      </w:r>
      <w:r>
        <w:t xml:space="preserve">, ЦАФК;</w:t>
      </w:r>
      <w:r/>
    </w:p>
    <w:p>
      <w:pPr>
        <w:pStyle w:val="950"/>
      </w:pPr>
      <w:r>
        <w:t xml:space="preserve">аннулирование.</w:t>
      </w:r>
      <w:r/>
    </w:p>
    <w:p>
      <w:pPr>
        <w:pStyle w:val="960"/>
      </w:pPr>
      <w:r>
        <w:rPr>
          <w:rStyle w:val="965"/>
        </w:rPr>
        <w:t xml:space="preserve">Примечание.</w:t>
      </w:r>
      <w:r>
        <w:tab/>
        <w:t xml:space="preserve">Операция «Аннулирование» формирует информационное сообщение с типом «Запрос на аннулирование» (ИНА). Данный документ подписывает и отправляет тот же сотрудник, котор</w:t>
      </w:r>
      <w:r>
        <w:t xml:space="preserve">ый</w:t>
      </w:r>
      <w:r>
        <w:t xml:space="preserve"> отправил аннулируемый документ. Если документ</w:t>
      </w:r>
      <w:r>
        <w:t xml:space="preserve"> будет подписан другим сотрудником, запрос на аннулирование будет отказан в ТОФК. По получении в ТОФК запроса на аннулирование он обрабатывается, и аннулируемый документ переходит на статус 008 – Аннулирован, документ типа ИНА – на статус 999 – Исполнено. </w:t>
      </w:r>
      <w:r/>
    </w:p>
    <w:p>
      <w:pPr>
        <w:pStyle w:val="949"/>
      </w:pPr>
      <w:r>
        <w:t xml:space="preserve">Для входящих документов:</w:t>
      </w:r>
      <w:r/>
    </w:p>
    <w:p>
      <w:pPr>
        <w:pStyle w:val="950"/>
      </w:pPr>
      <w:r>
        <w:t xml:space="preserve">просмотр;</w:t>
      </w:r>
      <w:r/>
    </w:p>
    <w:p>
      <w:pPr>
        <w:pStyle w:val="950"/>
      </w:pPr>
      <w:r>
        <w:t xml:space="preserve">проверка ЭП;</w:t>
      </w:r>
      <w:r/>
    </w:p>
    <w:p>
      <w:pPr>
        <w:pStyle w:val="950"/>
      </w:pPr>
      <w:r>
        <w:t xml:space="preserve">экспорт в </w:t>
      </w:r>
      <w:r>
        <w:t xml:space="preserve">учетную систему</w:t>
      </w:r>
      <w:r>
        <w:t xml:space="preserve">;</w:t>
      </w:r>
      <w:r/>
    </w:p>
    <w:p>
      <w:pPr>
        <w:pStyle w:val="950"/>
      </w:pPr>
      <w:r>
        <w:t xml:space="preserve">печать.</w:t>
      </w:r>
      <w:r/>
    </w:p>
    <w:p>
      <w:pPr>
        <w:pStyle w:val="937"/>
      </w:pPr>
      <w:r>
        <w:t xml:space="preserve">Экранная форма документа</w:t>
      </w:r>
      <w:r/>
    </w:p>
    <w:p>
      <w:pPr>
        <w:pStyle w:val="958"/>
      </w:pPr>
      <w:r>
        <w:t xml:space="preserve">ЭФ </w:t>
      </w:r>
      <w:r>
        <w:t xml:space="preserve">документа «</w:t>
      </w:r>
      <w:r>
        <w:t xml:space="preserve">Информационное сообщение</w:t>
      </w:r>
      <w:r>
        <w:t xml:space="preserve">»</w:t>
      </w:r>
      <w:r>
        <w:t xml:space="preserve"> представлена на рисунке </w:t>
      </w:r>
      <w:r>
        <w:fldChar w:fldCharType="begin"/>
      </w:r>
      <w:r>
        <w:instrText xml:space="preserve"> REF _Ref246222684 \h  \* MERGEFORMAT </w:instrText>
      </w:r>
      <w:r>
        <w:fldChar w:fldCharType="separate"/>
      </w:r>
      <w:r>
        <w:t xml:space="preserve">33</w:t>
      </w:r>
      <w:r>
        <w:fldChar w:fldCharType="end"/>
      </w:r>
      <w:r>
        <w:t xml:space="preserve">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05525" cy="6553200"/>
                <wp:effectExtent l="0" t="0" r="0" b="0"/>
                <wp:docPr id="88" name="_x0000_i11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6105525" cy="655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480.75pt;height:516.00pt;mso-wrap-distance-left:0.00pt;mso-wrap-distance-top:0.00pt;mso-wrap-distance-right:0.00pt;mso-wrap-distance-bottom:0.00pt;" stroked="f">
                <v:path textboxrect="0,0,0,0"/>
                <v:imagedata r:id="rId98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15" w:name="_Ref246222684"/>
      <w:r/>
      <w:bookmarkStart w:id="416" w:name="_Toc146034993"/>
      <w:r>
        <w:t xml:space="preserve">33</w:t>
      </w:r>
      <w:bookmarkEnd w:id="415"/>
      <w:r>
        <w:fldChar w:fldCharType="end"/>
      </w:r>
      <w:r>
        <w:t xml:space="preserve">. ЭФ </w:t>
      </w:r>
      <w:r>
        <w:t xml:space="preserve">документа «</w:t>
      </w:r>
      <w:r>
        <w:t xml:space="preserve">Информационное сообщение</w:t>
      </w:r>
      <w:r>
        <w:t xml:space="preserve">», закладки </w:t>
      </w:r>
      <w:r>
        <w:t xml:space="preserve">«</w:t>
      </w:r>
      <w:r>
        <w:t xml:space="preserve">Документ</w:t>
      </w:r>
      <w:r>
        <w:t xml:space="preserve">»</w:t>
      </w:r>
      <w:bookmarkEnd w:id="416"/>
      <w:r/>
      <w:r/>
    </w:p>
    <w:p>
      <w:pPr>
        <w:pStyle w:val="958"/>
      </w:pPr>
      <w:r>
        <w:t xml:space="preserve">Перечень</w:t>
      </w:r>
      <w:r>
        <w:t xml:space="preserve"> </w:t>
      </w:r>
      <w:r>
        <w:t xml:space="preserve">полей документа «</w:t>
      </w:r>
      <w:r>
        <w:t xml:space="preserve">Информационное сообщение</w:t>
      </w:r>
      <w:r>
        <w:t xml:space="preserve">», закладки «</w:t>
      </w:r>
      <w:r>
        <w:t xml:space="preserve">Документ</w:t>
      </w:r>
      <w:r>
        <w:t xml:space="preserve">» </w:t>
      </w:r>
      <w:r>
        <w:t xml:space="preserve">приведен в таблице</w:t>
      </w:r>
      <w:r>
        <w:t xml:space="preserve"> </w:t>
      </w:r>
      <w:r>
        <w:fldChar w:fldCharType="begin"/>
      </w:r>
      <w:r>
        <w:instrText xml:space="preserve"> REF _Ref318470724 \h  \* MERGEFORMAT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.</w:t>
      </w:r>
      <w:r/>
    </w:p>
    <w:p>
      <w:pPr>
        <w:pStyle w:val="957"/>
      </w:pPr>
      <w:r>
        <w:fldChar w:fldCharType="begin"/>
      </w:r>
      <w:r>
        <w:instrText xml:space="preserve"> SEQ Таблица \* ARABIC </w:instrText>
      </w:r>
      <w:r>
        <w:fldChar w:fldCharType="separate"/>
      </w:r>
      <w:bookmarkStart w:id="417" w:name="_Ref246222677"/>
      <w:r/>
      <w:bookmarkStart w:id="418" w:name="_Ref318470724"/>
      <w:r/>
      <w:bookmarkStart w:id="419" w:name="_Toc146034960"/>
      <w:r>
        <w:t xml:space="preserve">16</w:t>
      </w:r>
      <w:bookmarkEnd w:id="417"/>
      <w:r/>
      <w:bookmarkEnd w:id="418"/>
      <w:r>
        <w:fldChar w:fldCharType="end"/>
      </w:r>
      <w:r>
        <w:t xml:space="preserve">. Описание полей документа «Информационное сообщение</w:t>
      </w:r>
      <w:r>
        <w:t xml:space="preserve">», закладки </w:t>
      </w:r>
      <w:r>
        <w:t xml:space="preserve">«Документ»</w:t>
      </w:r>
      <w:bookmarkEnd w:id="419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21"/>
        <w:gridCol w:w="7131"/>
      </w:tblGrid>
      <w:tr>
        <w:tblPrEx/>
        <w:trPr>
          <w:trHeight w:val="305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44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поля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656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Описание поля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«Получатель»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6</w:t>
            </w:r>
            <w:r>
              <w:t xml:space="preserve"> текстовых полей; </w:t>
            </w:r>
            <w:r/>
          </w:p>
          <w:p>
            <w:pPr>
              <w:pStyle w:val="969"/>
              <w:ind w:left="57" w:right="57"/>
            </w:pPr>
            <w:r>
              <w:t xml:space="preserve">3</w:t>
            </w:r>
            <w:r>
              <w:t xml:space="preserve"> выпадающих списка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Поля для ввода адреса получателя документа. </w:t>
            </w:r>
            <w:r/>
          </w:p>
          <w:p>
            <w:pPr>
              <w:pStyle w:val="969"/>
              <w:ind w:left="57" w:right="57"/>
            </w:pPr>
            <w:r>
              <w:t xml:space="preserve">Запо</w:t>
            </w:r>
            <w:r>
              <w:t xml:space="preserve">лняются при необходимости.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Бюджет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Заполня</w:t>
            </w:r>
            <w:r>
              <w:t xml:space="preserve">ется</w:t>
            </w:r>
            <w:r>
              <w:t xml:space="preserve"> на основании данных из справочника «Сводный реестр», «Уполномоченные подразделения» и «Прочие организации», в зависимости от выбранной роли и выбранного наименования получателя.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Глава по БК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Для организаций, отличных от УП, заполня</w:t>
            </w:r>
            <w:r>
              <w:t xml:space="preserve">ется</w:t>
            </w:r>
            <w:r>
              <w:t xml:space="preserve"> на основании данных из справочника «Сводный реестр» и «Прочие организации», в зависимости от выбранной роли и выбранного наименования получателя.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Код УБП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Заполняется авт</w:t>
            </w:r>
            <w:r>
              <w:t xml:space="preserve">оматически при заполнении кода роли организации-получателя и наименования получателя учетным номером клиента из справочника «Сводный реестр» (для ролей, отличных от PR и UP), «Уполномоченные подразделения» (для роли UP) и «Прочие организации» (для роли PR)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Контур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Выбирается из списка допустимых знач</w:t>
            </w:r>
            <w:r>
              <w:t xml:space="preserve">ений:</w:t>
            </w:r>
            <w:r/>
          </w:p>
          <w:p>
            <w:pPr>
              <w:pStyle w:val="971"/>
            </w:pPr>
            <w:r>
              <w:t xml:space="preserve">Открытый;</w:t>
            </w:r>
            <w:r/>
          </w:p>
          <w:p>
            <w:pPr>
              <w:pStyle w:val="971"/>
            </w:pPr>
            <w:r>
              <w:t xml:space="preserve">Закрытый.</w:t>
            </w:r>
            <w:r/>
          </w:p>
          <w:p>
            <w:pPr>
              <w:pStyle w:val="969"/>
              <w:ind w:left="57" w:right="57"/>
            </w:pPr>
            <w:r>
              <w:t xml:space="preserve">По умолчанию поле заполнено значением </w:t>
            </w:r>
            <w:r>
              <w:t xml:space="preserve">«Открытый»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ППО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Выбирается из списка допустимых знач</w:t>
            </w:r>
            <w:r>
              <w:t xml:space="preserve">ений:</w:t>
            </w:r>
            <w:r/>
          </w:p>
          <w:p>
            <w:pPr>
              <w:pStyle w:val="971"/>
            </w:pPr>
            <w:r>
              <w:t xml:space="preserve">СЭД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СУФД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OEBS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Авикомп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ССПД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АТЛАС</w:t>
            </w:r>
            <w:r>
              <w:t xml:space="preserve">;</w:t>
            </w:r>
            <w:r/>
          </w:p>
          <w:p>
            <w:pPr>
              <w:pStyle w:val="969"/>
              <w:ind w:left="57" w:right="57"/>
            </w:pPr>
            <w:r>
              <w:t xml:space="preserve">По умолчанию заполнено значением «</w:t>
            </w:r>
            <w:r>
              <w:t xml:space="preserve">OEBS</w:t>
            </w:r>
            <w:r>
              <w:t xml:space="preserve">»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Роль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Выбирается из списка допустимых знач</w:t>
            </w:r>
            <w:r>
              <w:t xml:space="preserve">ений: </w:t>
            </w:r>
            <w:r/>
          </w:p>
          <w:p>
            <w:pPr>
              <w:pStyle w:val="971"/>
            </w:pPr>
            <w:r>
              <w:t xml:space="preserve">&lt;пусто&gt;</w:t>
            </w:r>
            <w:r>
              <w:t xml:space="preserve"> – </w:t>
            </w:r>
            <w:r>
              <w:t xml:space="preserve">по умолчанию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АП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ГРБС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МФ</w:t>
            </w:r>
            <w:r>
              <w:t xml:space="preserve"> – д</w:t>
            </w:r>
            <w:r>
              <w:t xml:space="preserve">оступно только для АРМ ГРБС уровня МОУ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НУБП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ПБС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РБС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УП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ФО</w:t>
            </w:r>
            <w:r>
              <w:t xml:space="preserve">;</w:t>
            </w:r>
            <w:r/>
          </w:p>
          <w:p>
            <w:pPr>
              <w:pStyle w:val="971"/>
            </w:pPr>
            <w:r>
              <w:t xml:space="preserve">ПР.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Заголовочная часть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Номер документа. </w:t>
            </w:r>
            <w:r/>
          </w:p>
          <w:p>
            <w:pPr>
              <w:pStyle w:val="969"/>
              <w:ind w:left="57" w:right="57"/>
            </w:pPr>
            <w:r>
              <w:t xml:space="preserve">По умолчанию не заполнено. Значение рассчитывается по нажатию кнопки на основании настроек для текущего типа документа в справо</w:t>
            </w:r>
            <w:r>
              <w:t xml:space="preserve">чнике «Параметры автонумерации документов».</w:t>
            </w:r>
            <w:r>
              <w:t xml:space="preserve"> </w:t>
            </w:r>
            <w:r>
              <w:t xml:space="preserve">Может быть заполнено вручную.</w:t>
            </w:r>
            <w:r/>
          </w:p>
          <w:p>
            <w:pPr>
              <w:pStyle w:val="969"/>
              <w:ind w:left="57" w:right="57"/>
            </w:pPr>
            <w:r>
              <w:t xml:space="preserve">В случае если значение было изменено вручную и не соответствует в</w:t>
            </w:r>
            <w:r>
              <w:t xml:space="preserve">ычисленному значению, правильный порядковый номер может быть проставлен по нажатию кнопки.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действия докуме</w:t>
            </w:r>
            <w:r>
              <w:t xml:space="preserve">нта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действия документа. 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передается из </w:t>
            </w:r>
            <w:r>
              <w:t xml:space="preserve">ППО OEBS АСФК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Исходящий: значение заполняется вручную или выбирается из систе</w:t>
            </w:r>
            <w:r>
              <w:t xml:space="preserve">много календаря дат.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докуме</w:t>
            </w:r>
            <w:r>
              <w:t xml:space="preserve">нта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документа. 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передается из </w:t>
            </w:r>
            <w:r>
              <w:t xml:space="preserve">ППО OEBS АСФК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Исходящий: значение заполняется вручную, либо выбирается пользов</w:t>
            </w:r>
            <w:r>
              <w:t xml:space="preserve">ателем из справочника «Типы документов».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Отправитель сообщения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отправителя сообщения согласно спр</w:t>
            </w:r>
            <w:r>
              <w:t xml:space="preserve">авочник</w:t>
            </w:r>
            <w:r>
              <w:t xml:space="preserve">у</w:t>
            </w:r>
            <w:r>
              <w:t xml:space="preserve"> СРРПБС или ПУБП. </w:t>
            </w:r>
            <w:r/>
          </w:p>
          <w:p>
            <w:pPr>
              <w:pStyle w:val="969"/>
              <w:ind w:left="57" w:right="57"/>
            </w:pPr>
            <w:r>
              <w:t xml:space="preserve">Для федерального бюджета (</w:t>
            </w:r>
            <w:r>
              <w:t xml:space="preserve">Собственный код бюджета</w:t>
            </w:r>
            <w:r>
              <w:t xml:space="preserve"> = «99010001») подтягивае</w:t>
            </w:r>
            <w:r>
              <w:t xml:space="preserve">тся «Краткое наименование» из СРРПБС в соответствии с</w:t>
            </w:r>
            <w:r>
              <w:t xml:space="preserve"> константой</w:t>
            </w:r>
            <w:r>
              <w:t xml:space="preserve"> </w:t>
            </w:r>
            <w:r>
              <w:t xml:space="preserve">«</w:t>
            </w:r>
            <w:r>
              <w:t xml:space="preserve">Код собственного БУ</w:t>
            </w:r>
            <w:r>
              <w:t xml:space="preserve">»</w:t>
            </w:r>
            <w:r>
              <w:t xml:space="preserve">. Для других бюджетов – из ПУБП.</w:t>
            </w:r>
            <w:r/>
          </w:p>
          <w:p>
            <w:pPr>
              <w:pStyle w:val="969"/>
              <w:ind w:left="57" w:right="57"/>
            </w:pPr>
            <w:r>
              <w:t xml:space="preserve">Привязан СРРПБС или ПУБП (в зависимости от бюджета).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Получатель сообщения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получателя сообщения. </w:t>
            </w:r>
            <w:r/>
          </w:p>
          <w:p>
            <w:pPr>
              <w:pStyle w:val="969"/>
              <w:ind w:left="57" w:right="57"/>
            </w:pPr>
            <w:r>
              <w:t xml:space="preserve">Привязан СР/СРРПБС/ПУБП/НУБП (поле «Краткое наименование»), «Уполномоченные подразделения» (сокращенное наименование), «Прочие организации» (наименование).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Орган ФК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Наименование органа Федерального казначейства. 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значение подтягивается по docTofkCode из справочника О</w:t>
            </w:r>
            <w:r>
              <w:t xml:space="preserve">рганы ФК.</w:t>
            </w:r>
            <w:r/>
          </w:p>
          <w:p>
            <w:pPr>
              <w:pStyle w:val="969"/>
              <w:ind w:left="57" w:right="57"/>
            </w:pPr>
            <w:r>
              <w:t xml:space="preserve">Исходящий: значение поля подтягивается из поля «Наименование» кода ТОФК получателя.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Ответственный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ФИО ответственного исполнителя.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передается из </w:t>
            </w:r>
            <w:r>
              <w:t xml:space="preserve">ППО OEBS АСФК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Исходящий: значение заполняется вручную.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«Основные</w:t>
            </w:r>
            <w:r>
              <w:t xml:space="preserve">»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 сообщения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 сообщения. </w:t>
            </w:r>
            <w:r/>
          </w:p>
          <w:p>
            <w:pPr>
              <w:pStyle w:val="969"/>
              <w:ind w:left="57" w:right="57"/>
            </w:pPr>
            <w:r>
              <w:t xml:space="preserve">По умолчанию «Письмо». Возможно ручное редактирование</w:t>
            </w:r>
            <w:r>
              <w:t xml:space="preserve">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Тема сообщения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Тема сообщения. </w:t>
            </w:r>
            <w:r/>
          </w:p>
          <w:p>
            <w:pPr>
              <w:pStyle w:val="969"/>
              <w:ind w:left="57" w:right="57"/>
            </w:pPr>
            <w:r>
              <w:t xml:space="preserve">Заполняется </w:t>
            </w:r>
            <w:r>
              <w:t xml:space="preserve">вручную.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Краткое описание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Краткое описание информационного сообщения.</w:t>
            </w:r>
            <w:r/>
          </w:p>
          <w:p>
            <w:pPr>
              <w:pStyle w:val="969"/>
              <w:ind w:left="57" w:right="57"/>
            </w:pPr>
            <w:r>
              <w:t xml:space="preserve">Входящий: передается из </w:t>
            </w:r>
            <w:r>
              <w:t xml:space="preserve">ППО OEBS АСФК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Исходящий: значение заполняется вручную.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Основание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Основание для информационного сообщения. </w:t>
            </w:r>
            <w:r/>
          </w:p>
          <w:p>
            <w:pPr>
              <w:pStyle w:val="969"/>
              <w:ind w:left="57" w:right="57"/>
            </w:pPr>
            <w:r>
              <w:t xml:space="preserve">Заполняется </w:t>
            </w:r>
            <w:r>
              <w:t xml:space="preserve">вручную.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Причина отказа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Заполняется из поля «Примечание» связанного документа «</w:t>
            </w:r>
            <w:r>
              <w:t xml:space="preserve">Уведомление (протокол)</w:t>
            </w:r>
            <w:r>
              <w:t xml:space="preserve">».</w:t>
            </w:r>
            <w:r/>
          </w:p>
        </w:tc>
      </w:tr>
      <w:tr>
        <w:tblPrEx/>
        <w:trPr/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Группа полей «</w:t>
            </w:r>
            <w:r>
              <w:t xml:space="preserve">Вложения»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GUID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Уникальный идентификатор (GUID) вложения.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Тип вложения.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Файл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Файл вложения.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Дата вложения.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Размер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Размер вложения.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Комментарий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Комментарий.</w:t>
            </w:r>
            <w:r/>
          </w:p>
        </w:tc>
      </w:tr>
      <w:tr>
        <w:tblPrEx/>
        <w:trPr/>
        <w:tc>
          <w:tcPr>
            <w:shd w:val="clear" w:color="auto" w:fill="auto"/>
            <w:tcW w:w="1344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Бизнес-тип</w:t>
            </w:r>
            <w:r/>
          </w:p>
        </w:tc>
        <w:tc>
          <w:tcPr>
            <w:shd w:val="clear" w:color="auto" w:fill="auto"/>
            <w:tcW w:w="365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Бизнес-тип вложения.</w:t>
            </w:r>
            <w:r/>
          </w:p>
        </w:tc>
      </w:tr>
    </w:tbl>
    <w:p>
      <w:pPr>
        <w:pStyle w:val="958"/>
      </w:pPr>
      <w:r>
        <w:t xml:space="preserve">В табличном блоке полей </w:t>
      </w:r>
      <w:r>
        <w:t xml:space="preserve">«</w:t>
      </w:r>
      <w:r>
        <w:t xml:space="preserve">Вложения</w:t>
      </w:r>
      <w:r>
        <w:t xml:space="preserve">»</w:t>
      </w:r>
      <w:r>
        <w:t xml:space="preserve"> добавляются строки с данными вложенных файлов. Поля табличного блока приведены в таблице</w:t>
      </w:r>
      <w:r>
        <w:t xml:space="preserve"> </w:t>
      </w:r>
      <w:r>
        <w:fldChar w:fldCharType="begin"/>
      </w:r>
      <w:r>
        <w:instrText xml:space="preserve"> REF _Ref246222677 \h  \* MERGEFORMAT </w:instrText>
      </w:r>
      <w:r>
        <w:fldChar w:fldCharType="separate"/>
      </w:r>
      <w:r>
        <w:t xml:space="preserve">16</w:t>
      </w:r>
      <w:r>
        <w:fldChar w:fldCharType="end"/>
      </w:r>
      <w:r>
        <w:t xml:space="preserve">. Поддерживаются любые типы файлов. Количество файлов не ограничено. Максимальный совокупный размер вложения – 100 МБ.</w:t>
      </w:r>
      <w:r/>
    </w:p>
    <w:p>
      <w:pPr>
        <w:pStyle w:val="958"/>
      </w:pPr>
      <w:r>
        <w:t xml:space="preserve">Для добавления файла в блоке </w:t>
      </w:r>
      <w:r>
        <w:t xml:space="preserve">«</w:t>
      </w:r>
      <w:r>
        <w:t xml:space="preserve">Вложения</w:t>
      </w:r>
      <w:r>
        <w:t xml:space="preserve">»</w:t>
      </w:r>
      <w:r>
        <w:t xml:space="preserve"> следует нажать на 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85750"/>
                <wp:effectExtent l="0" t="0" r="0" b="0"/>
                <wp:docPr id="89" name="_x0000_i11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8" o:spid="_x0000_s88" type="#_x0000_t75" style="width:22.50pt;height:22.50pt;mso-wrap-distance-left:0.00pt;mso-wrap-distance-top:0.00pt;mso-wrap-distance-right:0.00pt;mso-wrap-distance-bottom:0.00pt;" stroked="f">
                <v:path textboxrect="0,0,0,0"/>
                <v:imagedata r:id="rId99" o:title=""/>
              </v:shape>
            </w:pict>
          </mc:Fallback>
        </mc:AlternateContent>
      </w:r>
      <w:r>
        <w:t xml:space="preserve"> </w:t>
      </w:r>
      <w:r>
        <w:t xml:space="preserve">(</w:t>
      </w:r>
      <w:r>
        <w:t xml:space="preserve">Добавить вложение</w:t>
      </w:r>
      <w:r>
        <w:t xml:space="preserve">)</w:t>
      </w:r>
      <w:r>
        <w:t xml:space="preserve">. В открывшейся форме </w:t>
      </w:r>
      <w:r>
        <w:t xml:space="preserve">«</w:t>
      </w:r>
      <w:r>
        <w:t xml:space="preserve">Добавление вложения</w:t>
      </w:r>
      <w:r>
        <w:t xml:space="preserve">»</w:t>
      </w:r>
      <w:r>
        <w:t xml:space="preserve"> (рис</w:t>
      </w:r>
      <w:r>
        <w:t xml:space="preserve">.</w:t>
      </w:r>
      <w:r>
        <w:t xml:space="preserve"> </w:t>
      </w:r>
      <w:r>
        <w:fldChar w:fldCharType="begin"/>
      </w:r>
      <w:r>
        <w:instrText xml:space="preserve"> REF _Ref240109583 \h  \* MERGEFORMAT </w:instrText>
      </w:r>
      <w:r>
        <w:fldChar w:fldCharType="separate"/>
      </w:r>
      <w:r>
        <w:t xml:space="preserve">34</w:t>
      </w:r>
      <w:r>
        <w:fldChar w:fldCharType="end"/>
      </w:r>
      <w:r>
        <w:t xml:space="preserve">) заполняются сл</w:t>
      </w:r>
      <w:r>
        <w:t xml:space="preserve">е</w:t>
      </w:r>
      <w:r>
        <w:t xml:space="preserve">дующие поля:</w:t>
      </w:r>
      <w:r/>
    </w:p>
    <w:p>
      <w:pPr>
        <w:pStyle w:val="949"/>
      </w:pPr>
      <w:r>
        <w:t xml:space="preserve">«</w:t>
      </w:r>
      <w:r>
        <w:t xml:space="preserve">Бизнес-тип вложения</w:t>
      </w:r>
      <w:r>
        <w:t xml:space="preserve">»</w:t>
      </w:r>
      <w:r>
        <w:t xml:space="preserve"> </w:t>
      </w:r>
      <w:r>
        <w:t xml:space="preserve">–</w:t>
      </w:r>
      <w:r>
        <w:t xml:space="preserve"> п</w:t>
      </w:r>
      <w:r>
        <w:t xml:space="preserve">оле заполняется автоматически</w:t>
      </w:r>
      <w:r>
        <w:t xml:space="preserve">;</w:t>
      </w:r>
      <w:r/>
    </w:p>
    <w:p>
      <w:pPr>
        <w:pStyle w:val="949"/>
      </w:pPr>
      <w:r>
        <w:t xml:space="preserve">«</w:t>
      </w:r>
      <w:r>
        <w:t xml:space="preserve">Файл</w:t>
      </w:r>
      <w:r>
        <w:t xml:space="preserve">»</w:t>
      </w:r>
      <w:r>
        <w:t xml:space="preserve"> – имя файла вложения</w:t>
      </w:r>
      <w:r>
        <w:t xml:space="preserve">; н</w:t>
      </w:r>
      <w:r>
        <w:t xml:space="preserve">ажать на кнопку</w:t>
      </w:r>
      <w:r>
        <w:t xml:space="preserve"> 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80975" cy="180975"/>
                <wp:effectExtent l="0" t="0" r="0" b="0"/>
                <wp:docPr id="90" name="_x0000_i11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9" o:spid="_x0000_s89" type="#_x0000_t75" style="width:14.25pt;height:14.25pt;mso-wrap-distance-left:0.00pt;mso-wrap-distance-top:0.00pt;mso-wrap-distance-right:0.00pt;mso-wrap-distance-bottom:0.00pt;" stroked="f">
                <v:path textboxrect="0,0,0,0"/>
                <v:imagedata r:id="rId100" o:title=""/>
              </v:shape>
            </w:pict>
          </mc:Fallback>
        </mc:AlternateContent>
      </w:r>
      <w:r>
        <w:t xml:space="preserve"> и выбрать нужный файл вл</w:t>
      </w:r>
      <w:r>
        <w:t xml:space="preserve">о</w:t>
      </w:r>
      <w:r>
        <w:t xml:space="preserve">жения;</w:t>
      </w:r>
      <w:r/>
    </w:p>
    <w:p>
      <w:pPr>
        <w:pStyle w:val="949"/>
      </w:pPr>
      <w:r>
        <w:t xml:space="preserve">«</w:t>
      </w:r>
      <w:r>
        <w:t xml:space="preserve">Тип вложения</w:t>
      </w:r>
      <w:r>
        <w:t xml:space="preserve">»</w:t>
      </w:r>
      <w:r>
        <w:t xml:space="preserve"> </w:t>
      </w:r>
      <w:r>
        <w:t xml:space="preserve">–</w:t>
      </w:r>
      <w:r>
        <w:t xml:space="preserve"> п</w:t>
      </w:r>
      <w:r>
        <w:t xml:space="preserve">оле заполняется</w:t>
      </w:r>
      <w:r>
        <w:t xml:space="preserve"> автоматически при выборе файла;</w:t>
      </w:r>
      <w:r/>
    </w:p>
    <w:p>
      <w:pPr>
        <w:pStyle w:val="949"/>
      </w:pPr>
      <w:r>
        <w:t xml:space="preserve">«</w:t>
      </w:r>
      <w:r>
        <w:t xml:space="preserve">Комментарий</w:t>
      </w:r>
      <w:r>
        <w:t xml:space="preserve">»</w:t>
      </w:r>
      <w:r>
        <w:t xml:space="preserve"> – комментарий к файлу.</w:t>
      </w:r>
      <w:r/>
    </w:p>
    <w:p>
      <w:pPr>
        <w:pStyle w:val="946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2743200"/>
                <wp:effectExtent l="0" t="0" r="0" b="0"/>
                <wp:docPr id="91" name="_x0000_i11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6124575" cy="274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0" o:spid="_x0000_s90" type="#_x0000_t75" style="width:482.25pt;height:216.00pt;mso-wrap-distance-left:0.00pt;mso-wrap-distance-top:0.00pt;mso-wrap-distance-right:0.00pt;mso-wrap-distance-bottom:0.00pt;" stroked="f">
                <v:path textboxrect="0,0,0,0"/>
                <v:imagedata r:id="rId101" o:title=""/>
              </v:shape>
            </w:pict>
          </mc:Fallback>
        </mc:AlternateContent>
      </w:r>
      <w:r/>
    </w:p>
    <w:p>
      <w:pPr>
        <w:pStyle w:val="947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20" w:name="_Ref240109583"/>
      <w:r/>
      <w:bookmarkStart w:id="421" w:name="_Toc146034994"/>
      <w:r>
        <w:t xml:space="preserve">34</w:t>
      </w:r>
      <w:bookmarkEnd w:id="420"/>
      <w:r>
        <w:fldChar w:fldCharType="end"/>
      </w:r>
      <w:r>
        <w:t xml:space="preserve">. ЭФ </w:t>
      </w:r>
      <w:r>
        <w:t xml:space="preserve">«</w:t>
      </w:r>
      <w:r>
        <w:t xml:space="preserve">Добавление вложения</w:t>
      </w:r>
      <w:r>
        <w:t xml:space="preserve">»</w:t>
      </w:r>
      <w:bookmarkEnd w:id="421"/>
      <w:r/>
      <w:r/>
    </w:p>
    <w:p>
      <w:pPr>
        <w:pStyle w:val="958"/>
      </w:pPr>
      <w:r>
        <w:t xml:space="preserve">Нажать на кнопку </w:t>
      </w:r>
      <w:r>
        <w:t xml:space="preserve">«</w:t>
      </w:r>
      <w:r>
        <w:t xml:space="preserve">ОК</w:t>
      </w:r>
      <w:r>
        <w:t xml:space="preserve">»</w:t>
      </w:r>
      <w:r>
        <w:t xml:space="preserve"> для сохранения данных о вложенном файле. В списке файлов вл</w:t>
      </w:r>
      <w:r>
        <w:t xml:space="preserve">о</w:t>
      </w:r>
      <w:r>
        <w:t xml:space="preserve">жений в блоке </w:t>
      </w:r>
      <w:r>
        <w:t xml:space="preserve">«</w:t>
      </w:r>
      <w:r>
        <w:t xml:space="preserve">Вложения</w:t>
      </w:r>
      <w:r>
        <w:t xml:space="preserve">»</w:t>
      </w:r>
      <w:r>
        <w:t xml:space="preserve"> появится добавленная запись.</w:t>
      </w:r>
      <w:r/>
    </w:p>
    <w:p>
      <w:pPr>
        <w:pStyle w:val="958"/>
      </w:pPr>
      <w:r>
        <w:t xml:space="preserve">Для </w:t>
      </w:r>
      <w:r>
        <w:t xml:space="preserve">проверки подписи файла следует выбрать строку с именем файла и нажать на 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85750"/>
                <wp:effectExtent l="0" t="0" r="0" b="0"/>
                <wp:docPr id="92" name="_x0000_i11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1" o:spid="_x0000_s91" type="#_x0000_t75" style="width:22.50pt;height:22.50pt;mso-wrap-distance-left:0.00pt;mso-wrap-distance-top:0.00pt;mso-wrap-distance-right:0.00pt;mso-wrap-distance-bottom:0.00pt;" stroked="f">
                <v:path textboxrect="0,0,0,0"/>
                <v:imagedata r:id="rId102" o:title=""/>
              </v:shape>
            </w:pict>
          </mc:Fallback>
        </mc:AlternateContent>
      </w:r>
      <w:r>
        <w:t xml:space="preserve"> (Проверить подпись) на панели инструментов.</w:t>
      </w:r>
      <w:r/>
    </w:p>
    <w:p>
      <w:pPr>
        <w:pStyle w:val="958"/>
      </w:pPr>
      <w:r>
        <w:t xml:space="preserve">Для просмотра информации о файле следует выделить в списке файлов вложений ну</w:t>
      </w:r>
      <w:r>
        <w:t xml:space="preserve">жную запись и нажать на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85750"/>
                <wp:effectExtent l="0" t="0" r="0" b="0"/>
                <wp:docPr id="93" name="_x0000_i11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2" o:spid="_x0000_s92" type="#_x0000_t75" style="width:22.50pt;height:22.50pt;mso-wrap-distance-left:0.00pt;mso-wrap-distance-top:0.00pt;mso-wrap-distance-right:0.00pt;mso-wrap-distance-bottom:0.00pt;" stroked="f">
                <v:path textboxrect="0,0,0,0"/>
                <v:imagedata r:id="rId103" o:title=""/>
              </v:shape>
            </w:pict>
          </mc:Fallback>
        </mc:AlternateContent>
      </w:r>
      <w:r>
        <w:t xml:space="preserve"> (П</w:t>
      </w:r>
      <w:r>
        <w:t xml:space="preserve">росмотреть информацию о вложении). Откроется форма «Свойства вложения», поля которой аналогичны полям формы «Добавление вложения». В форме можно отредактировать комментарий к файлу вложения. Для сохранения введенных изменений следует нажать на кнопку «ОК».</w:t>
      </w:r>
      <w:r/>
    </w:p>
    <w:p>
      <w:pPr>
        <w:pStyle w:val="958"/>
      </w:pPr>
      <w:r>
        <w:t xml:space="preserve">Для просмотра файла следует выделить в списке файлов вложений требуемую запись и нажать на 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85750"/>
                <wp:effectExtent l="0" t="0" r="0" b="0"/>
                <wp:docPr id="94" name="_x0000_i11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3" o:spid="_x0000_s93" type="#_x0000_t75" style="width:22.50pt;height:22.50pt;mso-wrap-distance-left:0.00pt;mso-wrap-distance-top:0.00pt;mso-wrap-distance-right:0.00pt;mso-wrap-distance-bottom:0.00pt;" stroked="f">
                <v:path textboxrect="0,0,0,0"/>
                <v:imagedata r:id="rId104" o:title=""/>
              </v:shape>
            </w:pict>
          </mc:Fallback>
        </mc:AlternateContent>
      </w:r>
      <w:r>
        <w:t xml:space="preserve"> (Просмотреть).</w:t>
      </w:r>
      <w:r/>
    </w:p>
    <w:p>
      <w:pPr>
        <w:pStyle w:val="958"/>
      </w:pPr>
      <w:r>
        <w:t xml:space="preserve">Для сохранения файла под другим именем следует выделить в списке файлов вложений требуемую запись и нажать на 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85750"/>
                <wp:effectExtent l="0" t="0" r="0" b="0"/>
                <wp:docPr id="95" name="_x0000_i11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4" o:spid="_x0000_s94" type="#_x0000_t75" style="width:22.50pt;height:22.50pt;mso-wrap-distance-left:0.00pt;mso-wrap-distance-top:0.00pt;mso-wrap-distance-right:0.00pt;mso-wrap-distance-bottom:0.00pt;" stroked="f">
                <v:path textboxrect="0,0,0,0"/>
                <v:imagedata r:id="rId105" o:title=""/>
              </v:shape>
            </w:pict>
          </mc:Fallback>
        </mc:AlternateContent>
      </w:r>
      <w:r>
        <w:t xml:space="preserve"> (Сохранить).</w:t>
      </w:r>
      <w:r/>
    </w:p>
    <w:p>
      <w:pPr>
        <w:pStyle w:val="958"/>
      </w:pPr>
      <w:r>
        <w:t xml:space="preserve">Для удаления файла следует выделить в списке файлов вложений требуемую запись и нажать на кнопку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85750"/>
                <wp:effectExtent l="0" t="0" r="0" b="0"/>
                <wp:docPr id="96" name="_x0000_i11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5" o:spid="_x0000_s95" type="#_x0000_t75" style="width:22.50pt;height:22.50pt;mso-wrap-distance-left:0.00pt;mso-wrap-distance-top:0.00pt;mso-wrap-distance-right:0.00pt;mso-wrap-distance-bottom:0.00pt;" stroked="f">
                <v:path textboxrect="0,0,0,0"/>
                <v:imagedata r:id="rId106" o:title=""/>
              </v:shape>
            </w:pict>
          </mc:Fallback>
        </mc:AlternateContent>
      </w:r>
      <w:r>
        <w:t xml:space="preserve"> (Удалить вложение).</w:t>
      </w:r>
      <w:r/>
    </w:p>
    <w:p>
      <w:pPr>
        <w:pStyle w:val="958"/>
      </w:pPr>
      <w:r>
        <w:t xml:space="preserve">С помощью кнопки</w:t>
      </w:r>
      <w:r>
        <w:t xml:space="preserve">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5750" cy="285750"/>
                <wp:effectExtent l="0" t="0" r="0" b="0"/>
                <wp:docPr id="97" name="_x0000_i11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6" o:spid="_x0000_s96" type="#_x0000_t75" style="width:22.50pt;height:22.50pt;mso-wrap-distance-left:0.00pt;mso-wrap-distance-top:0.00pt;mso-wrap-distance-right:0.00pt;mso-wrap-distance-bottom:0.00pt;" stroked="f">
                <v:path textboxrect="0,0,0,0"/>
                <v:imagedata r:id="rId107" o:title=""/>
              </v:shape>
            </w:pict>
          </mc:Fallback>
        </mc:AlternateContent>
      </w:r>
      <w:r>
        <w:t xml:space="preserve"> (Напечатать)</w:t>
      </w:r>
      <w:r>
        <w:t xml:space="preserve"> можно послать вложенны</w:t>
      </w:r>
      <w:r>
        <w:t xml:space="preserve">й файл на печать</w:t>
      </w:r>
      <w:r>
        <w:t xml:space="preserve">.</w:t>
      </w:r>
      <w:r/>
    </w:p>
    <w:p>
      <w:pPr>
        <w:pStyle w:val="962"/>
      </w:pPr>
      <w:r/>
      <w:bookmarkStart w:id="422" w:name="_Toc146034943"/>
      <w:r/>
      <w:bookmarkStart w:id="423" w:name="_Toc232309835"/>
      <w:r/>
      <w:bookmarkStart w:id="424" w:name="_Toc240286461"/>
      <w:r>
        <w:t xml:space="preserve">СОГЛАСОВАНО</w:t>
      </w:r>
      <w:bookmarkEnd w:id="422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65"/>
        <w:gridCol w:w="2493"/>
        <w:gridCol w:w="2317"/>
        <w:gridCol w:w="1424"/>
        <w:gridCol w:w="1453"/>
      </w:tblGrid>
      <w:tr>
        <w:tblPrEx/>
        <w:trPr>
          <w:trHeight w:val="891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Наименование организации, предприятия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8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Должность</w:t>
            </w:r>
            <w:r>
              <w:br w:type="textWrapping" w:clear="all"/>
              <w:t xml:space="preserve">исполнителя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88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Фамилия, имя,</w:t>
            </w:r>
            <w:r>
              <w:br w:type="textWrapping" w:clear="all"/>
              <w:t xml:space="preserve">отчество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0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Подпись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45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Дата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/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1059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 </w:t>
            </w:r>
            <w:r/>
          </w:p>
        </w:tc>
        <w:tc>
          <w:tcPr>
            <w:shd w:val="clear" w:color="auto" w:fill="auto"/>
            <w:tcW w:w="127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 </w:t>
            </w:r>
            <w:r/>
          </w:p>
        </w:tc>
        <w:tc>
          <w:tcPr>
            <w:shd w:val="clear" w:color="auto" w:fill="auto"/>
            <w:tcW w:w="1188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 </w:t>
            </w:r>
            <w:r/>
          </w:p>
        </w:tc>
        <w:tc>
          <w:tcPr>
            <w:shd w:val="clear" w:color="auto" w:fill="auto"/>
            <w:tcW w:w="730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 </w:t>
            </w:r>
            <w:r/>
          </w:p>
        </w:tc>
        <w:tc>
          <w:tcPr>
            <w:shd w:val="clear" w:color="auto" w:fill="auto"/>
            <w:tcW w:w="74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 </w:t>
            </w:r>
            <w:r/>
          </w:p>
        </w:tc>
      </w:tr>
    </w:tbl>
    <w:p>
      <w:pPr>
        <w:pStyle w:val="962"/>
      </w:pPr>
      <w:r/>
      <w:bookmarkStart w:id="425" w:name="_Toc401059293"/>
      <w:r/>
      <w:bookmarkStart w:id="426" w:name="_Toc146034944"/>
      <w:r>
        <w:t xml:space="preserve">ЛИСТ РЕГИСТРАЦИИ ИЗМЕНЕНИЙ</w:t>
      </w:r>
      <w:bookmarkEnd w:id="423"/>
      <w:r/>
      <w:bookmarkEnd w:id="424"/>
      <w:r/>
      <w:bookmarkEnd w:id="425"/>
      <w:r/>
      <w:bookmarkEnd w:id="426"/>
      <w:r/>
      <w:r/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04"/>
        <w:gridCol w:w="1238"/>
        <w:gridCol w:w="1984"/>
        <w:gridCol w:w="5726"/>
      </w:tblGrid>
      <w:tr>
        <w:tblPrEx/>
        <w:trPr>
          <w:trHeight w:val="891"/>
          <w:tblHeader/>
        </w:trPr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№ </w:t>
            </w:r>
            <w:r>
              <w:br/>
              <w:t xml:space="preserve">версии док-та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35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Дата </w:t>
            </w:r>
            <w:r>
              <w:br/>
              <w:t xml:space="preserve">изменения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7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Автор </w:t>
            </w:r>
            <w:r>
              <w:br/>
              <w:t xml:space="preserve">изменений</w:t>
            </w:r>
            <w:r/>
          </w:p>
        </w:tc>
        <w:tc>
          <w:tcPr>
            <w:shd w:val="clear" w:color="auto" w:fill="e6e6e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36" w:type="pct"/>
            <w:vAlign w:val="center"/>
            <w:textDirection w:val="lrTb"/>
            <w:noWrap w:val="false"/>
          </w:tcPr>
          <w:p>
            <w:pPr>
              <w:pStyle w:val="970"/>
            </w:pPr>
            <w:r>
              <w:t xml:space="preserve">Изменения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1.0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18.08.2014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</w:t>
            </w:r>
            <w:r>
              <w:t xml:space="preserve">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</w:t>
            </w:r>
            <w:r>
              <w:t xml:space="preserve">соответствии с </w:t>
            </w:r>
            <w:r>
              <w:rPr>
                <w:lang w:val="en-US"/>
              </w:rPr>
              <w:t xml:space="preserve">SUFD</w:t>
            </w:r>
            <w:r>
              <w:t xml:space="preserve">-</w:t>
            </w:r>
            <w:r>
              <w:t xml:space="preserve">53683</w:t>
            </w:r>
            <w:r>
              <w:t xml:space="preserve"> (</w:t>
            </w:r>
            <w:r>
              <w:rPr>
                <w:lang w:val="en-US"/>
              </w:rPr>
              <w:t xml:space="preserve">SUFD</w:t>
            </w:r>
            <w:r>
              <w:t xml:space="preserve">-</w:t>
            </w:r>
            <w:r>
              <w:t xml:space="preserve">6</w:t>
            </w:r>
            <w:r>
              <w:t xml:space="preserve">33</w:t>
            </w:r>
            <w:r>
              <w:t xml:space="preserve">20</w:t>
            </w:r>
            <w:r>
              <w:t xml:space="preserve">) создана первоначальная версия документа</w:t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1.1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04.03.2015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соответствии с SUFD-66101 (SUFD-71268, SUFD-71269) добавлены </w:t>
            </w:r>
            <w:r>
              <w:t xml:space="preserve">п</w:t>
            </w:r>
            <w:r>
              <w:t xml:space="preserve">п.</w:t>
            </w:r>
            <w:r>
              <w:t xml:space="preserve"> </w:t>
            </w:r>
            <w:r>
              <w:fldChar w:fldCharType="begin"/>
            </w:r>
            <w:r>
              <w:instrText xml:space="preserve"> REF _Ref413229060 \r \h </w:instrText>
            </w:r>
            <w:r>
              <w:fldChar w:fldCharType="separate"/>
            </w:r>
            <w:r>
              <w:t xml:space="preserve">5.3.1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_Ref413229066 \r \h </w:instrText>
            </w:r>
            <w:r>
              <w:fldChar w:fldCharType="separate"/>
            </w:r>
            <w:r>
              <w:t xml:space="preserve">5.3.2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1.2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30.05.2016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соответствии с</w:t>
            </w:r>
            <w:r>
              <w:t xml:space="preserve"> </w:t>
            </w:r>
            <w:r>
              <w:t xml:space="preserve">SUFD-59114</w:t>
            </w:r>
            <w:r>
              <w:t xml:space="preserve"> (</w:t>
            </w:r>
            <w:r>
              <w:t xml:space="preserve">SUFD-70648</w:t>
            </w:r>
            <w:r>
              <w:t xml:space="preserve">) добавлен п.</w:t>
            </w:r>
            <w:r>
              <w:t xml:space="preserve"> </w:t>
            </w:r>
            <w:r>
              <w:fldChar w:fldCharType="begin"/>
            </w:r>
            <w:r>
              <w:instrText xml:space="preserve"> REF _Ref452369615 \r \h </w:instrText>
            </w:r>
            <w:r>
              <w:fldChar w:fldCharType="separate"/>
            </w:r>
            <w:r>
              <w:t xml:space="preserve">5.2.1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1.3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2</w:t>
            </w:r>
            <w:r>
              <w:t xml:space="preserve">4</w:t>
            </w:r>
            <w:r>
              <w:t xml:space="preserve">.08.2016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соответствии </w:t>
            </w:r>
            <w:r>
              <w:tab/>
              <w:t xml:space="preserve">SUFD-86127 (SUFD-89162)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_Ref299370996 \r \h </w:instrText>
            </w:r>
            <w:r>
              <w:fldChar w:fldCharType="separate"/>
            </w:r>
            <w:r>
              <w:t xml:space="preserve">5.4.1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 соответствии с RFC-42713 отредактированы наименования системных констант.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1.4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05</w:t>
            </w:r>
            <w:r>
              <w:t xml:space="preserve">.05</w:t>
            </w:r>
            <w:r>
              <w:t xml:space="preserve">.2017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Тяпкина О.</w:t>
            </w:r>
            <w:r>
              <w:t xml:space="preserve"> </w:t>
            </w:r>
            <w:r>
              <w:t xml:space="preserve">В.</w:t>
            </w:r>
            <w:r/>
          </w:p>
          <w:p>
            <w:pPr>
              <w:pStyle w:val="969"/>
              <w:ind w:left="57" w:right="57"/>
            </w:pPr>
            <w:r>
              <w:t xml:space="preserve">Соколова Н.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редакционные правки, предусмотренные государственным контрактом № УФТ-57/2016 от 14.11.2016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 соответствии с SUFD-92332 (SUFD-95202) актуализирован п. </w:t>
            </w:r>
            <w:r>
              <w:fldChar w:fldCharType="begin"/>
            </w:r>
            <w:r>
              <w:instrText xml:space="preserve"> REF _Ref299370996 \r \h </w:instrText>
            </w:r>
            <w:r>
              <w:fldChar w:fldCharType="separate"/>
            </w:r>
            <w:r>
              <w:t xml:space="preserve">5.4.1</w:t>
            </w:r>
            <w:r>
              <w:fldChar w:fldCharType="end"/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 соответствии с SUFD-</w:t>
            </w:r>
            <w:r>
              <w:t xml:space="preserve">76699</w:t>
            </w:r>
            <w:r>
              <w:t xml:space="preserve"> (SUFD-96495) </w:t>
            </w:r>
            <w:r>
              <w:t xml:space="preserve">добавлен</w:t>
            </w:r>
            <w:r>
              <w:t xml:space="preserve">ы</w:t>
            </w:r>
            <w:r>
              <w:t xml:space="preserve"> </w:t>
            </w:r>
            <w:r>
              <w:t xml:space="preserve">п</w:t>
            </w:r>
            <w:r>
              <w:t xml:space="preserve">п</w:t>
            </w:r>
            <w:r>
              <w:t xml:space="preserve">. </w:t>
            </w:r>
            <w:r>
              <w:fldChar w:fldCharType="begin"/>
            </w:r>
            <w:r>
              <w:instrText xml:space="preserve"> REF _Ref481592577 \r \h </w:instrText>
            </w:r>
            <w:r>
              <w:fldChar w:fldCharType="separate"/>
            </w:r>
            <w:r>
              <w:t xml:space="preserve">5.1.1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_Ref452369615 \r \h </w:instrText>
            </w:r>
            <w:r>
              <w:fldChar w:fldCharType="separate"/>
            </w:r>
            <w:r>
              <w:t xml:space="preserve">5.2.1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_Ref481763664 \r \h </w:instrText>
            </w:r>
            <w:r>
              <w:fldChar w:fldCharType="separate"/>
            </w:r>
            <w:r>
              <w:t xml:space="preserve">5.2.2</w:t>
            </w:r>
            <w:r>
              <w:fldChar w:fldCharType="end"/>
            </w:r>
            <w:r>
              <w:t xml:space="preserve">,</w:t>
            </w:r>
            <w:r>
              <w:t xml:space="preserve"> </w:t>
            </w:r>
            <w:r>
              <w:fldChar w:fldCharType="begin"/>
            </w:r>
            <w:r>
              <w:instrText xml:space="preserve"> REF _Ref481763665 \r \h </w:instrText>
            </w:r>
            <w:r>
              <w:fldChar w:fldCharType="separate"/>
            </w:r>
            <w:r>
              <w:t xml:space="preserve">5.2.3</w:t>
            </w:r>
            <w:r>
              <w:fldChar w:fldCharType="end"/>
            </w:r>
            <w:r>
              <w:t xml:space="preserve">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_Ref481771440 \r \h </w:instrText>
            </w:r>
            <w:r>
              <w:fldChar w:fldCharType="separate"/>
            </w:r>
            <w:r>
              <w:t xml:space="preserve">5.2.4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1.5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07.07.2017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Сармосова А.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ФКУ0240/06/2017 от 15.06.2017.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1.6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05.12.2017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Сармосова А.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 xml:space="preserve">SUFD</w:t>
            </w:r>
            <w:r>
              <w:t xml:space="preserve">-101357 (</w:t>
            </w:r>
            <w:r>
              <w:rPr>
                <w:lang w:val="en-US"/>
              </w:rPr>
              <w:t xml:space="preserve">SUFD</w:t>
            </w:r>
            <w:r>
              <w:t xml:space="preserve">-103961)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_Ref299370996 \r \h </w:instrText>
            </w:r>
            <w:r>
              <w:fldChar w:fldCharType="separate"/>
            </w:r>
            <w:r>
              <w:t xml:space="preserve">5.4.1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1.7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20.05.2019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Сармосова А.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 xml:space="preserve">SUFD</w:t>
            </w:r>
            <w:r>
              <w:t xml:space="preserve">-116863 (</w:t>
            </w:r>
            <w:r>
              <w:rPr>
                <w:lang w:val="en-US"/>
              </w:rPr>
              <w:t xml:space="preserve">SUFD</w:t>
            </w:r>
            <w:r>
              <w:t xml:space="preserve">-117067)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_Ref481771440 \r \h </w:instrText>
            </w:r>
            <w:r>
              <w:fldChar w:fldCharType="separate"/>
            </w:r>
            <w:r>
              <w:t xml:space="preserve">5.2.4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  <w:rPr>
                <w:lang w:val="en-US"/>
              </w:rPr>
            </w:pPr>
            <w:r>
              <w:t xml:space="preserve">01.0</w:t>
            </w:r>
            <w:r>
              <w:rPr>
                <w:lang w:val="en-US"/>
              </w:rPr>
              <w:t xml:space="preserve">8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30.09.2019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Сармосова А. 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ФКУ0264/09/2019/РИС от 16.09.2019</w:t>
            </w:r>
            <w:r>
              <w:t xml:space="preserve"> (1 период). </w:t>
            </w:r>
            <w:r>
              <w:t xml:space="preserve">Версия ППО АСФК 32.2.0</w:t>
            </w:r>
            <w:r>
              <w:t xml:space="preserve">.</w:t>
            </w:r>
            <w:r/>
          </w:p>
          <w:p>
            <w:pPr>
              <w:pStyle w:val="969"/>
              <w:ind w:left="57" w:right="57"/>
            </w:pPr>
            <w:r>
              <w:t xml:space="preserve">В соответствии с </w:t>
            </w:r>
            <w:r>
              <w:rPr>
                <w:lang w:val="en-US"/>
              </w:rPr>
              <w:t xml:space="preserve">SUFD</w:t>
            </w:r>
            <w:r>
              <w:t xml:space="preserve">-119369 (</w:t>
            </w:r>
            <w:r>
              <w:rPr>
                <w:lang w:val="en-US"/>
              </w:rPr>
              <w:t xml:space="preserve">SUFD</w:t>
            </w:r>
            <w:r>
              <w:t xml:space="preserve">-120050) </w:t>
            </w:r>
            <w:r>
              <w:t xml:space="preserve">актуализирован п. </w:t>
            </w:r>
            <w:r>
              <w:fldChar w:fldCharType="begin"/>
            </w:r>
            <w:r>
              <w:instrText xml:space="preserve"> REF _Ref481771440 \r \h </w:instrText>
            </w:r>
            <w:r>
              <w:fldChar w:fldCharType="separate"/>
            </w:r>
            <w:r>
              <w:t xml:space="preserve">5.2.4</w:t>
            </w:r>
            <w:r>
              <w:fldChar w:fldCharType="end"/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01.09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14.07.2020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Сармосова А.</w:t>
            </w:r>
            <w:r>
              <w:t xml:space="preserve"> </w:t>
            </w:r>
            <w:r>
              <w:t xml:space="preserve">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</w:t>
            </w:r>
            <w:r>
              <w:t xml:space="preserve">№ ФКУ0168/06/2020/РИС от 05.06.2020</w:t>
            </w:r>
            <w:r>
              <w:t xml:space="preserve">. Версия ППО АСФК 32.</w:t>
            </w:r>
            <w:r>
              <w:t xml:space="preserve">4</w:t>
            </w:r>
            <w:r>
              <w:t xml:space="preserve">.</w:t>
            </w:r>
            <w:r>
              <w:t xml:space="preserve">0.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01.10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16.08.2020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Галкина Г.</w:t>
            </w:r>
            <w:r>
              <w:t xml:space="preserve"> </w:t>
            </w:r>
            <w:r>
              <w:t xml:space="preserve">С.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изменения по требованиям, предусмотренным Государственным контрактом № ФКУ0168/06/2020/РИС от 05.06.2020. Версия ППО АСФК 32.4.0.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02.00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20.08.2020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Божкова Н. А.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>
              <w:t xml:space="preserve">5</w:t>
            </w:r>
            <w:r>
              <w:t xml:space="preserve">.0.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02.01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07.10.2020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Сармосова А.В.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>
              <w:t xml:space="preserve">5</w:t>
            </w:r>
            <w:r>
              <w:t xml:space="preserve">.0.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02.02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11.12.2020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Галкина Г.С.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02.03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11.06.2021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Сармосова А.В.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ФКУ0121/04/2021/РИС от 28.04.2021. Версия ППО АСФК 32.7.0.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02.04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10.08.2021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Сармосова А.В.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Внесены изменения по требованиям к развитию ППО АСФК, предусмотренные государственным контрактом № ФКУ0121/04/2021/РИС от 28.04.2021.Версия ППО АСФК 32.7.0.</w:t>
            </w:r>
            <w:r/>
          </w:p>
          <w:p>
            <w:pPr>
              <w:pStyle w:val="969"/>
              <w:ind w:left="57" w:right="57"/>
            </w:pPr>
            <w:r>
              <w:t xml:space="preserve">Произведена замена термина «уровень секретности» на «уровень конфиденциальности».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02.05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</w:pPr>
            <w:r>
              <w:t xml:space="preserve">03.11.2021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</w:pPr>
            <w:r>
              <w:t xml:space="preserve">Сармосова А. 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</w:pPr>
            <w:r>
              <w:t xml:space="preserve">Внесены изменения по требованиям к развитию ППО АСФК, предусмотренные государственным контрактом от 09.06.2020</w:t>
            </w:r>
            <w:r>
              <w:t xml:space="preserve"> № </w:t>
            </w:r>
            <w:r>
              <w:t xml:space="preserve">ФКУ0173/06/2020/РИС</w:t>
            </w:r>
            <w:r>
              <w:t xml:space="preserve"> (</w:t>
            </w:r>
            <w:r>
              <w:t xml:space="preserve">2-й период работ по развитию Автоматизированной системы Федерального казначейства</w:t>
            </w:r>
            <w:r>
              <w:t xml:space="preserve">)</w:t>
            </w:r>
            <w:r>
              <w:t xml:space="preserve">. Версия ППО АСФК 32.7.</w:t>
            </w:r>
            <w:r>
              <w:rPr>
                <w:lang w:val="en-US"/>
              </w:rPr>
              <w:t xml:space="preserve">1</w:t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02.06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</w:pPr>
            <w:r>
              <w:t xml:space="preserve">27.01.2022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</w:pPr>
            <w:r>
              <w:t xml:space="preserve">Галкина Г.С.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</w:pPr>
            <w:r>
              <w:t xml:space="preserve">Изменения внесены на основании письма ФКУ</w:t>
            </w:r>
            <w:r>
              <w:t xml:space="preserve"> «ЦОКР» от 19.01.2022 №99-24-16/363 в рамках гарантийных обязательств, предусмотренных Государственным контрактом от 09.06.2020 № ФКУ0173/06/2020/РИС (2-й период работ по развитию Автоматизированной системы Федерального казначейства). Версия ППО АСФК 32.7.</w:t>
            </w:r>
            <w:r>
              <w:rPr>
                <w:lang w:val="en-US"/>
              </w:rPr>
              <w:t xml:space="preserve">1</w:t>
            </w:r>
            <w:r>
              <w:t xml:space="preserve">.</w:t>
            </w:r>
            <w:r/>
          </w:p>
        </w:tc>
      </w:tr>
      <w:tr>
        <w:tblPrEx/>
        <w:trPr>
          <w:trHeight w:val="308"/>
        </w:trPr>
        <w:tc>
          <w:tcPr>
            <w:shd w:val="clear" w:color="auto" w:fill="auto"/>
            <w:tcW w:w="412" w:type="pct"/>
            <w:textDirection w:val="lrTb"/>
            <w:noWrap w:val="false"/>
          </w:tcPr>
          <w:p>
            <w:pPr>
              <w:pStyle w:val="969"/>
              <w:ind w:left="57" w:right="57"/>
            </w:pPr>
            <w:r>
              <w:t xml:space="preserve">03.00</w:t>
            </w:r>
            <w:r/>
          </w:p>
        </w:tc>
        <w:tc>
          <w:tcPr>
            <w:shd w:val="clear" w:color="auto" w:fill="auto"/>
            <w:tcW w:w="635" w:type="pct"/>
            <w:textDirection w:val="lrTb"/>
            <w:noWrap w:val="false"/>
          </w:tcPr>
          <w:p>
            <w:pPr>
              <w:pStyle w:val="969"/>
            </w:pPr>
            <w:r>
              <w:t xml:space="preserve">24.08.202</w:t>
            </w:r>
            <w:r>
              <w:t xml:space="preserve">3</w:t>
            </w:r>
            <w:r/>
          </w:p>
        </w:tc>
        <w:tc>
          <w:tcPr>
            <w:shd w:val="clear" w:color="auto" w:fill="auto"/>
            <w:tcW w:w="1017" w:type="pct"/>
            <w:textDirection w:val="lrTb"/>
            <w:noWrap w:val="false"/>
          </w:tcPr>
          <w:p>
            <w:pPr>
              <w:pStyle w:val="969"/>
            </w:pPr>
            <w:r>
              <w:t xml:space="preserve">Сармосова А. В.</w:t>
            </w:r>
            <w:r/>
          </w:p>
        </w:tc>
        <w:tc>
          <w:tcPr>
            <w:shd w:val="clear" w:color="auto" w:fill="auto"/>
            <w:tcW w:w="2936" w:type="pct"/>
            <w:textDirection w:val="lrTb"/>
            <w:noWrap w:val="false"/>
          </w:tcPr>
          <w:p>
            <w:pPr>
              <w:pStyle w:val="969"/>
            </w:pPr>
            <w:r>
              <w:t xml:space="preserve">Документ актуализирован в рамках исполнения </w:t>
            </w:r>
            <w:r>
              <w:t xml:space="preserve">Государственного контракта </w:t>
            </w:r>
            <w:r>
              <w:t xml:space="preserve">от 03.08.2023 №</w:t>
            </w:r>
            <w:r>
              <w:t xml:space="preserve"> </w:t>
            </w:r>
            <w:r>
              <w:t xml:space="preserve">ФКУ0307/08/2023/РИС</w:t>
            </w:r>
            <w:r>
              <w:t xml:space="preserve"> (в рамках работ по развитию Автоматизированной системы Федерального казначейства)</w:t>
            </w:r>
            <w:r>
              <w:t xml:space="preserve">. </w:t>
            </w:r>
            <w:r/>
          </w:p>
          <w:p>
            <w:pPr>
              <w:pStyle w:val="969"/>
            </w:pPr>
            <w:r>
              <w:t xml:space="preserve">Версия ППО АСФК 32.12.0.</w:t>
            </w:r>
            <w:r/>
          </w:p>
          <w:p>
            <w:pPr>
              <w:pStyle w:val="969"/>
            </w:pPr>
            <w:r>
              <w:t xml:space="preserve">Внесены изменения в раздел</w:t>
            </w:r>
            <w:r>
              <w:t xml:space="preserve"> </w:t>
            </w:r>
            <w:r>
              <w:fldChar w:fldCharType="begin"/>
            </w:r>
            <w:r>
              <w:instrText xml:space="preserve"> REF _Ref143869158 \r \h </w:instrText>
            </w:r>
            <w:r>
              <w:fldChar w:fldCharType="separate"/>
            </w:r>
            <w:r>
              <w:t xml:space="preserve">1.3</w:t>
            </w:r>
            <w:r>
              <w:fldChar w:fldCharType="end"/>
            </w:r>
            <w:r>
              <w:t xml:space="preserve">.</w:t>
            </w:r>
            <w:bookmarkEnd w:id="364"/>
            <w:bookmarkEnd w:id="365"/>
            <w:bookmarkEnd w:id="366"/>
            <w:bookmarkEnd w:id="367"/>
            <w:bookmarkEnd w:id="368"/>
            <w:bookmarkEnd w:id="369"/>
            <w:r/>
          </w:p>
        </w:tc>
      </w:tr>
    </w:tbl>
    <w:p>
      <w:pPr>
        <w:pStyle w:val="958"/>
      </w:pPr>
      <w:r/>
      <w:r/>
    </w:p>
    <w:p>
      <w:pPr>
        <w:sectPr>
          <w:headerReference w:type="default" r:id="rId10"/>
          <w:footerReference w:type="default" r:id="rId13"/>
          <w:footerReference w:type="even" r:id="rId14"/>
          <w:footnotePr/>
          <w:endnotePr/>
          <w:type w:val="nextPage"/>
          <w:pgSz w:w="11906" w:h="16838" w:orient="portrait"/>
          <w:pgMar w:top="1134" w:right="567" w:bottom="851" w:left="1701" w:header="567" w:footer="284" w:gutter="0"/>
          <w:pgNumType w:start="2"/>
          <w:cols w:num="1" w:sep="0" w:space="708" w:equalWidth="1"/>
          <w:docGrid w:linePitch="360"/>
        </w:sectPr>
      </w:pPr>
      <w:r/>
      <w:r/>
    </w:p>
    <w:p>
      <w:pPr>
        <w:ind w:left="-1000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085975" cy="2085975"/>
                <wp:effectExtent l="0" t="0" r="0" b="0"/>
                <wp:docPr id="98" name="Drawing 0" descr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QR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2085975" cy="2085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7" o:spid="_x0000_s97" type="#_x0000_t75" style="width:164.25pt;height:164.25pt;mso-wrap-distance-left:0.00pt;mso-wrap-distance-top:0.00pt;mso-wrap-distance-right:0.00pt;mso-wrap-distance-bottom:0.00pt;" stroked="false">
                <v:path textboxrect="0,0,0,0"/>
                <v:imagedata r:id="rId108" o:title=""/>
              </v:shape>
            </w:pict>
          </mc:Fallback>
        </mc:AlternateContent>
      </w:r>
      <w:r/>
    </w:p>
    <w:sectPr>
      <w:headerReference w:type="default" r:id="rId11"/>
      <w:footerReference w:type="default" r:id="rId15"/>
      <w:footnotePr/>
      <w:endnotePr/>
      <w:type w:val="nextPage"/>
      <w:pgSz w:w="11906" w:h="16838" w:orient="portrait"/>
      <w:pgMar w:top="1134" w:right="567" w:bottom="851" w:left="1701" w:header="567" w:footer="28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 CYR">
    <w:panose1 w:val="020B0604020202020204"/>
  </w:font>
  <w:font w:name="Symbol">
    <w:panose1 w:val="05010000000000000000"/>
  </w:font>
  <w:font w:name="Wingdings">
    <w:panose1 w:val="05010000000000000000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0"/>
    </w:pPr>
    <w:r>
      <w:t xml:space="preserve">20</w:t>
    </w:r>
    <w:r>
      <w:t xml:space="preserve">23 г.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</w:footnote>
  <w:footnote w:id="2">
    <w:p>
      <w:pPr>
        <w:pStyle w:val="1006"/>
      </w:pPr>
      <w:r>
        <w:rPr>
          <w:rStyle w:val="1005"/>
        </w:rPr>
        <w:footnoteRef/>
      </w:r>
      <w:r>
        <w:t xml:space="preserve"> </w:t>
      </w:r>
      <w:r>
        <w:t xml:space="preserve">В случае утверждения новой версии документации, взамен указанной в настоящем перечне, необходимо использовать более новые документы. Вся информация о новых версиях документов отражена в Аналитической записке.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Borders>
        <w:bottom w:val="single" w:color="404040" w:sz="12" w:space="0"/>
      </w:tblBorders>
      <w:tblLook w:val="04A0" w:firstRow="1" w:lastRow="0" w:firstColumn="1" w:lastColumn="0" w:noHBand="0" w:noVBand="1"/>
    </w:tblPr>
    <w:tblGrid>
      <w:gridCol w:w="9855"/>
    </w:tblGrid>
    <w:tr>
      <w:tblPrEx/>
      <w:trPr/>
      <w:tc>
        <w:tcPr>
          <w:tcW w:w="5000" w:type="pct"/>
          <w:textDirection w:val="lrTb"/>
          <w:noWrap w:val="false"/>
        </w:tcPr>
        <w:p>
          <w:pPr>
            <w:pStyle w:val="1149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ФЕДЕРАЛЬНОЕ КАЗНАЧЕЙСТВО (КАЗНАЧЕ</w:t>
          </w:r>
          <w:r>
            <w:rPr>
              <w:rFonts w:ascii="Times New Roman" w:hAnsi="Times New Roman"/>
              <w:lang w:val="en-US"/>
            </w:rPr>
            <w:t xml:space="preserve">й</w:t>
          </w:r>
          <w:r>
            <w:rPr>
              <w:rFonts w:ascii="Times New Roman" w:hAnsi="Times New Roman"/>
            </w:rPr>
            <w:t xml:space="preserve">СТВО РОССИИ)</w:t>
          </w:r>
          <w:r>
            <w:rPr>
              <w:rFonts w:ascii="Times New Roman" w:hAnsi="Times New Roman"/>
            </w:rPr>
          </w:r>
        </w:p>
      </w:tc>
    </w:tr>
  </w:tbl>
  <w:p>
    <w:pPr>
      <w:pStyle w:val="95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752" w:type="dxa"/>
      <w:tblInd w:w="54" w:type="dxa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  <w:insideH w:val="single" w:color="auto" w:sz="12" w:space="0"/>
        <w:insideV w:val="single" w:color="auto" w:sz="12" w:space="0"/>
      </w:tblBorders>
      <w:tblLayout w:type="fixed"/>
      <w:tblLook w:val="0000" w:firstRow="0" w:lastRow="0" w:firstColumn="0" w:lastColumn="0" w:noHBand="0" w:noVBand="0"/>
    </w:tblPr>
    <w:tblGrid>
      <w:gridCol w:w="2354"/>
      <w:gridCol w:w="6115"/>
      <w:gridCol w:w="1283"/>
    </w:tblGrid>
    <w:tr>
      <w:tblPrEx/>
      <w:trPr>
        <w:cantSplit/>
      </w:trPr>
      <w:tc>
        <w:tcPr>
          <w:tcW w:w="1207" w:type="pct"/>
          <w:vAlign w:val="center"/>
          <w:textDirection w:val="lrTb"/>
          <w:noWrap w:val="false"/>
        </w:tcPr>
        <w:p>
          <w:pPr>
            <w:pStyle w:val="948"/>
          </w:pPr>
          <w:r>
            <w:t xml:space="preserve">Наименование ИС:</w:t>
          </w:r>
          <w:r/>
        </w:p>
      </w:tc>
      <w:tc>
        <w:tcPr>
          <w:gridSpan w:val="2"/>
          <w:tcW w:w="3793" w:type="pct"/>
          <w:vAlign w:val="center"/>
          <w:textDirection w:val="lrTb"/>
          <w:noWrap w:val="false"/>
        </w:tcPr>
        <w:p>
          <w:pPr>
            <w:pStyle w:val="948"/>
          </w:pPr>
          <w:r/>
          <w:fldSimple w:instr="REF FullNameSystem  \* MERGEFORMAT ">
            <w:r>
              <w:t xml:space="preserve">Автоматизированная система Федерального казначейства</w:t>
            </w:r>
          </w:fldSimple>
          <w:r/>
          <w:r/>
        </w:p>
      </w:tc>
    </w:tr>
    <w:tr>
      <w:tblPrEx/>
      <w:trPr>
        <w:cantSplit/>
      </w:trPr>
      <w:tc>
        <w:tcPr>
          <w:tcW w:w="1207" w:type="pct"/>
          <w:vAlign w:val="center"/>
          <w:textDirection w:val="lrTb"/>
          <w:noWrap w:val="false"/>
        </w:tcPr>
        <w:p>
          <w:pPr>
            <w:pStyle w:val="948"/>
          </w:pPr>
          <w:r>
            <w:t xml:space="preserve">Название документа:</w:t>
          </w:r>
          <w:r/>
        </w:p>
      </w:tc>
      <w:tc>
        <w:tcPr>
          <w:gridSpan w:val="2"/>
          <w:tcW w:w="3793" w:type="pct"/>
          <w:vAlign w:val="center"/>
          <w:textDirection w:val="lrTb"/>
          <w:noWrap w:val="false"/>
        </w:tcPr>
        <w:p>
          <w:pPr>
            <w:pStyle w:val="948"/>
            <w:rPr>
              <w:highlight w:val="yellow"/>
            </w:rPr>
          </w:pPr>
          <w:r/>
          <w:fldSimple w:instr="REF DocType  \* MERGEFORMAT ">
            <w:r>
              <w:t xml:space="preserve">Обучающие материалы</w:t>
            </w:r>
          </w:fldSimple>
          <w:r>
            <w:t xml:space="preserve"> «</w:t>
          </w:r>
          <w:fldSimple w:instr="REF DocName  \* MERGEFORMAT ">
            <w:r>
              <w:t xml:space="preserve">Руководство по работе с «АРМ Разные участники ЭОД»</w:t>
            </w:r>
          </w:fldSimple>
          <w:r/>
          <w:r>
            <w:rPr>
              <w:highlight w:val="yellow"/>
            </w:rPr>
          </w:r>
        </w:p>
      </w:tc>
    </w:tr>
    <w:tr>
      <w:tblPrEx/>
      <w:trPr>
        <w:cantSplit/>
        <w:trHeight w:val="143"/>
      </w:trPr>
      <w:tc>
        <w:tcPr>
          <w:tcW w:w="1207" w:type="pct"/>
          <w:vAlign w:val="center"/>
          <w:textDirection w:val="lrTb"/>
          <w:noWrap w:val="false"/>
        </w:tcPr>
        <w:p>
          <w:pPr>
            <w:pStyle w:val="948"/>
          </w:pPr>
          <w:r>
            <w:t xml:space="preserve">Код документа:</w:t>
          </w:r>
          <w:r/>
        </w:p>
      </w:tc>
      <w:tc>
        <w:tcPr>
          <w:tcW w:w="3135" w:type="pct"/>
          <w:vAlign w:val="center"/>
          <w:textDirection w:val="lrTb"/>
          <w:noWrap w:val="false"/>
        </w:tcPr>
        <w:p>
          <w:pPr>
            <w:pStyle w:val="948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r>
            <w:t xml:space="preserve">54819512.09.01,00.ОМ.004-03.00 6</w:t>
          </w:r>
          <w:r>
            <w:fldChar w:fldCharType="end"/>
          </w:r>
          <w:r/>
        </w:p>
      </w:tc>
      <w:tc>
        <w:tcPr>
          <w:tcW w:w="658" w:type="pct"/>
          <w:textDirection w:val="lrTb"/>
          <w:noWrap w:val="false"/>
        </w:tcPr>
        <w:p>
          <w:pPr>
            <w:pStyle w:val="948"/>
          </w:pPr>
          <w:r>
            <w:t xml:space="preserve">Стр.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 xml:space="preserve">54</w:t>
          </w:r>
          <w:r>
            <w:fldChar w:fldCharType="end"/>
          </w:r>
          <w:r/>
        </w:p>
      </w:tc>
    </w:tr>
  </w:tbl>
  <w:p>
    <w:pPr>
      <w:pStyle w:val="95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107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106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1105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104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pStyle w:val="1100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099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098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1097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pStyle w:val="1074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pStyle w:val="1073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pStyle w:val="1142"/>
      <w:isLgl w:val="false"/>
      <w:suff w:val="tab"/>
      <w:lvlText w:val="Рисунок %1."/>
      <w:lvlJc w:val="left"/>
      <w:pPr>
        <w:ind w:left="5387" w:firstLine="0"/>
        <w:tabs>
          <w:tab w:val="num" w:pos="6159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2115" w:hanging="1035"/>
        <w:tabs>
          <w:tab w:val="num" w:pos="2115" w:leader="none"/>
        </w:tabs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pStyle w:val="972"/>
      <w:isLgl w:val="false"/>
      <w:suff w:val="tab"/>
      <w:lvlText w:val="%1."/>
      <w:lvlJc w:val="left"/>
      <w:pPr>
        <w:ind w:left="284" w:hanging="227"/>
        <w:tabs>
          <w:tab w:val="num" w:pos="284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2"/>
        <w:u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709" w:hanging="425"/>
        <w:tabs>
          <w:tab w:val="num" w:pos="567" w:leader="none"/>
        </w:tabs>
      </w:pPr>
      <w:rPr>
        <w:rFonts w:hint="default" w:ascii="Times New Roman" w:hAnsi="Times New Roman"/>
        <w:sz w:val="24"/>
        <w:szCs w:val="24"/>
      </w:rPr>
    </w:lvl>
    <w:lvl w:ilvl="2">
      <w:start w:val="1"/>
      <w:numFmt w:val="decimal"/>
      <w:isLgl w:val="false"/>
      <w:suff w:val="tab"/>
      <w:lvlText w:val="%2.%1.%3."/>
      <w:lvlJc w:val="left"/>
      <w:pPr>
        <w:ind w:left="1276" w:hanging="567"/>
        <w:tabs>
          <w:tab w:val="num" w:pos="1134" w:leader="none"/>
        </w:tabs>
      </w:pPr>
      <w:rPr>
        <w:rFonts w:hint="default" w:ascii="Times New Roman" w:hAnsi="Times New Roman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95" w:hanging="648"/>
        <w:tabs>
          <w:tab w:val="num" w:pos="236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799" w:hanging="792"/>
        <w:tabs>
          <w:tab w:val="num" w:pos="3087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303" w:hanging="936"/>
        <w:tabs>
          <w:tab w:val="num" w:pos="3447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07" w:hanging="1080"/>
        <w:tabs>
          <w:tab w:val="num" w:pos="4167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11" w:hanging="1224"/>
        <w:tabs>
          <w:tab w:val="num" w:pos="4527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87" w:hanging="1440"/>
        <w:tabs>
          <w:tab w:val="num" w:pos="5247" w:leader="none"/>
        </w:tabs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pStyle w:val="1137"/>
      <w:isLgl w:val="false"/>
      <w:suff w:val="tab"/>
      <w:lvlText w:val="%1."/>
      <w:lvlJc w:val="left"/>
      <w:pPr>
        <w:ind w:left="1021" w:hanging="454"/>
        <w:tabs>
          <w:tab w:val="num" w:pos="1021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956"/>
      <w:isLgl/>
      <w:suff w:val="tab"/>
      <w:lvlText w:val="%1.%2."/>
      <w:lvlJc w:val="left"/>
      <w:pPr>
        <w:ind w:left="1588" w:hanging="567"/>
        <w:tabs>
          <w:tab w:val="num" w:pos="1588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2">
      <w:start w:val="1"/>
      <w:numFmt w:val="decimal"/>
      <w:isLgl/>
      <w:suff w:val="tab"/>
      <w:lvlText w:val="%1.%2.%3."/>
      <w:lvlJc w:val="left"/>
      <w:pPr>
        <w:ind w:left="2421" w:hanging="567"/>
        <w:tabs>
          <w:tab w:val="num" w:pos="2421" w:leader="none"/>
        </w:tabs>
      </w:pPr>
      <w:rPr>
        <w:rFonts w:hint="default" w:ascii="Arial CYR" w:hAnsi="Arial CYR"/>
        <w:b w:val="0"/>
        <w:i w:val="0"/>
        <w:sz w:val="24"/>
      </w:rPr>
    </w:lvl>
    <w:lvl w:ilvl="3">
      <w:start w:val="1"/>
      <w:numFmt w:val="decimal"/>
      <w:isLgl w:val="false"/>
      <w:suff w:val="space"/>
      <w:lvlText w:val="%1.%2.%3.%4."/>
      <w:lvlJc w:val="left"/>
      <w:pPr>
        <w:ind w:left="2704" w:hanging="567"/>
      </w:pPr>
      <w:rPr>
        <w:rFonts w:hint="default" w:ascii="Arial CYR" w:hAnsi="Arial CYR"/>
        <w:b w:val="0"/>
        <w:i w:val="0"/>
        <w:sz w:val="24"/>
      </w:rPr>
    </w:lvl>
    <w:lvl w:ilvl="4">
      <w:start w:val="1"/>
      <w:numFmt w:val="decimal"/>
      <w:isLgl w:val="false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588" w:hanging="1152"/>
        <w:tabs>
          <w:tab w:val="num" w:pos="158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732" w:hanging="1296"/>
        <w:tabs>
          <w:tab w:val="num" w:pos="173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76" w:hanging="1440"/>
        <w:tabs>
          <w:tab w:val="num" w:pos="187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020" w:hanging="1584"/>
        <w:tabs>
          <w:tab w:val="num" w:pos="2020" w:leader="none"/>
        </w:tabs>
      </w:pPr>
      <w:rPr>
        <w:rFonts w:hint="default"/>
      </w:rPr>
    </w:lvl>
  </w:abstractNum>
  <w:abstractNum w:abstractNumId="14">
    <w:multiLevelType w:val="hybridMultilevel"/>
    <w:styleLink w:val="1038"/>
    <w:lvl w:ilvl="0">
      <w:start w:val="1"/>
      <w:numFmt w:val="upperRoman"/>
      <w:pStyle w:val="1038"/>
      <w:isLgl w:val="false"/>
      <w:suff w:val="tab"/>
      <w:lvlText w:val="Статья %1."/>
      <w:lvlJc w:val="left"/>
      <w:pPr>
        <w:ind w:left="0" w:firstLine="0"/>
        <w:tabs>
          <w:tab w:val="num" w:pos="1440" w:leader="none"/>
        </w:tabs>
      </w:pPr>
    </w:lvl>
    <w:lvl w:ilvl="1">
      <w:start w:val="1"/>
      <w:numFmt w:val="decimalZero"/>
      <w:isLgl/>
      <w:suff w:val="tab"/>
      <w:lvlText w:val="Раздел %1.%2"/>
      <w:lvlJc w:val="left"/>
      <w:pPr>
        <w:ind w:left="0" w:firstLine="0"/>
        <w:tabs>
          <w:tab w:val="num" w:pos="1080" w:leader="none"/>
        </w:tabs>
      </w:pPr>
    </w:lvl>
    <w:lvl w:ilvl="2">
      <w:start w:val="1"/>
      <w:numFmt w:val="lowerLetter"/>
      <w:isLgl w:val="false"/>
      <w:suff w:val="tab"/>
      <w:lvlText w:val="(%3)"/>
      <w:lvlJc w:val="left"/>
      <w:pPr>
        <w:ind w:left="720" w:hanging="432"/>
        <w:tabs>
          <w:tab w:val="num" w:pos="720" w:leader="none"/>
        </w:tabs>
      </w:pPr>
    </w:lvl>
    <w:lvl w:ilvl="3">
      <w:start w:val="1"/>
      <w:numFmt w:val="lowerRoman"/>
      <w:isLgl w:val="false"/>
      <w:suff w:val="tab"/>
      <w:lvlText w:val="(%4)"/>
      <w:lvlJc w:val="right"/>
      <w:pPr>
        <w:ind w:left="864" w:hanging="14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1008" w:hanging="432"/>
        <w:tabs>
          <w:tab w:val="num" w:pos="1008" w:leader="none"/>
        </w:tabs>
      </w:pPr>
    </w:lvl>
    <w:lvl w:ilvl="5">
      <w:start w:val="1"/>
      <w:numFmt w:val="lowerLetter"/>
      <w:isLgl w:val="false"/>
      <w:suff w:val="tab"/>
      <w:lvlText w:val="%6)"/>
      <w:lvlJc w:val="left"/>
      <w:pPr>
        <w:ind w:left="1152" w:hanging="432"/>
        <w:tabs>
          <w:tab w:val="num" w:pos="1152" w:leader="none"/>
        </w:tabs>
      </w:pPr>
    </w:lvl>
    <w:lvl w:ilvl="6">
      <w:start w:val="1"/>
      <w:numFmt w:val="lowerRoman"/>
      <w:isLgl w:val="false"/>
      <w:suff w:val="tab"/>
      <w:lvlText w:val="%7)"/>
      <w:lvlJc w:val="right"/>
      <w:pPr>
        <w:ind w:left="1296" w:hanging="288"/>
        <w:tabs>
          <w:tab w:val="num" w:pos="129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1440" w:hanging="432"/>
        <w:tabs>
          <w:tab w:val="num" w:pos="14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1584" w:hanging="144"/>
        <w:tabs>
          <w:tab w:val="num" w:pos="1584" w:leader="none"/>
        </w:tabs>
      </w:pPr>
    </w:lvl>
  </w:abstractNum>
  <w:abstractNum w:abstractNumId="15">
    <w:multiLevelType w:val="hybridMultilevel"/>
    <w:styleLink w:val="995"/>
    <w:lvl w:ilvl="0">
      <w:start w:val="1"/>
      <w:numFmt w:val="decimal"/>
      <w:pStyle w:val="995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6">
    <w:multiLevelType w:val="hybridMultilevel"/>
    <w:lvl w:ilvl="0">
      <w:start w:val="1"/>
      <w:numFmt w:val="bullet"/>
      <w:pStyle w:val="951"/>
      <w:isLgl w:val="false"/>
      <w:suff w:val="tab"/>
      <w:lvlText w:val="–"/>
      <w:lvlJc w:val="left"/>
      <w:pPr>
        <w:ind w:left="1418" w:hanging="284"/>
        <w:tabs>
          <w:tab w:val="num" w:pos="1418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7">
    <w:multiLevelType w:val="hybridMultilevel"/>
    <w:styleLink w:val="1153"/>
    <w:lvl w:ilvl="0">
      <w:start w:val="1"/>
      <w:numFmt w:val="decimal"/>
      <w:pStyle w:val="1153"/>
      <w:isLgl w:val="false"/>
      <w:suff w:val="tab"/>
      <w:lvlText w:val="%1."/>
      <w:lvlJc w:val="left"/>
      <w:pPr>
        <w:ind w:left="1428" w:hanging="360"/>
        <w:tabs>
          <w:tab w:val="num" w:pos="1428" w:leader="none"/>
        </w:tabs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8">
    <w:multiLevelType w:val="hybridMultilevel"/>
    <w:lvl w:ilvl="0">
      <w:start w:val="1"/>
      <w:numFmt w:val="bullet"/>
      <w:pStyle w:val="1130"/>
      <w:isLgl w:val="false"/>
      <w:suff w:val="tab"/>
      <w:lvlText w:val="–"/>
      <w:lvlJc w:val="left"/>
      <w:pPr>
        <w:ind w:left="1985" w:hanging="284"/>
        <w:tabs>
          <w:tab w:val="num" w:pos="1985" w:leader="none"/>
        </w:tabs>
      </w:pPr>
      <w:rPr>
        <w:rFonts w:hint="default" w:ascii="Times New Roman" w:hAnsi="Times New Roman" w:cs="Times New Roman"/>
        <w:b w:val="0"/>
        <w:i w:val="0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9">
    <w:multiLevelType w:val="hybridMultilevel"/>
    <w:styleLink w:val="994"/>
    <w:lvl w:ilvl="0">
      <w:start w:val="1"/>
      <w:numFmt w:val="decimal"/>
      <w:pStyle w:val="994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20">
    <w:multiLevelType w:val="hybridMultilevel"/>
    <w:lvl w:ilvl="0">
      <w:start w:val="1"/>
      <w:numFmt w:val="bullet"/>
      <w:pStyle w:val="1128"/>
      <w:isLgl w:val="false"/>
      <w:suff w:val="tab"/>
      <w:lvlText w:val=""/>
      <w:lvlJc w:val="left"/>
      <w:pPr>
        <w:ind w:left="340" w:hanging="283"/>
        <w:tabs>
          <w:tab w:val="num" w:pos="3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pStyle w:val="950"/>
      <w:isLgl w:val="false"/>
      <w:suff w:val="tab"/>
      <w:lvlText w:val="–"/>
      <w:lvlJc w:val="left"/>
      <w:pPr>
        <w:ind w:left="1134" w:hanging="283"/>
        <w:tabs>
          <w:tab w:val="num" w:pos="1134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bullet"/>
      <w:pStyle w:val="952"/>
      <w:isLgl w:val="false"/>
      <w:suff w:val="tab"/>
      <w:lvlText w:val=""/>
      <w:lvlJc w:val="left"/>
      <w:pPr>
        <w:ind w:left="1701" w:hanging="283"/>
        <w:tabs>
          <w:tab w:val="num" w:pos="1701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91" w:hanging="360"/>
        <w:tabs>
          <w:tab w:val="num" w:pos="1491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11" w:hanging="360"/>
        <w:tabs>
          <w:tab w:val="num" w:pos="2211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31" w:hanging="360"/>
        <w:tabs>
          <w:tab w:val="num" w:pos="2931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51" w:hanging="360"/>
        <w:tabs>
          <w:tab w:val="num" w:pos="3651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71" w:hanging="360"/>
        <w:tabs>
          <w:tab w:val="num" w:pos="4371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91" w:hanging="360"/>
        <w:tabs>
          <w:tab w:val="num" w:pos="5091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11" w:hanging="360"/>
        <w:tabs>
          <w:tab w:val="num" w:pos="5811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31" w:hanging="360"/>
        <w:tabs>
          <w:tab w:val="num" w:pos="6531" w:leader="none"/>
        </w:tabs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pStyle w:val="934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pStyle w:val="935"/>
      <w:isLgl w:val="false"/>
      <w:suff w:val="tab"/>
      <w:lvlText w:val="%1.%2."/>
      <w:lvlJc w:val="left"/>
      <w:pPr>
        <w:ind w:left="851" w:hanging="851"/>
        <w:tabs>
          <w:tab w:val="num" w:pos="851" w:leader="none"/>
        </w:tabs>
      </w:pPr>
      <w:rPr>
        <w:rFonts w:hint="default" w:ascii="Times New Roman" w:hAnsi="Times New Roman" w:cs="Times New Roman"/>
        <w:b/>
        <w:i w:val="0"/>
        <w:sz w:val="32"/>
        <w:szCs w:val="32"/>
      </w:rPr>
    </w:lvl>
    <w:lvl w:ilvl="2">
      <w:start w:val="1"/>
      <w:numFmt w:val="decimal"/>
      <w:pStyle w:val="936"/>
      <w:isLgl w:val="false"/>
      <w:suff w:val="tab"/>
      <w:lvlText w:val="%1.%2.%3."/>
      <w:lvlJc w:val="left"/>
      <w:pPr>
        <w:ind w:left="964" w:hanging="964"/>
        <w:tabs>
          <w:tab w:val="num" w:pos="964" w:leader="none"/>
        </w:tabs>
      </w:pPr>
      <w:rPr>
        <w:rFonts w:hint="default"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937"/>
      <w:isLgl w:val="false"/>
      <w:suff w:val="tab"/>
      <w:lvlText w:val="%1.%2.%3.%4."/>
      <w:lvlJc w:val="left"/>
      <w:pPr>
        <w:ind w:left="1134" w:hanging="1134"/>
        <w:tabs>
          <w:tab w:val="num" w:pos="1134" w:leader="none"/>
        </w:tabs>
      </w:pPr>
      <w:rPr>
        <w:rFonts w:hint="default" w:ascii="Times New Roman" w:hAnsi="Times New Roman"/>
        <w:b/>
        <w:i w:val="0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4" w:hanging="1008"/>
        <w:tabs>
          <w:tab w:val="num" w:pos="724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68" w:hanging="1152"/>
        <w:tabs>
          <w:tab w:val="num" w:pos="868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12" w:hanging="1296"/>
        <w:tabs>
          <w:tab w:val="num" w:pos="1012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56" w:hanging="1440"/>
        <w:tabs>
          <w:tab w:val="num" w:pos="1156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00" w:hanging="1584"/>
        <w:tabs>
          <w:tab w:val="num" w:pos="1300" w:leader="none"/>
        </w:tabs>
      </w:pPr>
      <w:rPr>
        <w:rFonts w:hint="default"/>
      </w:rPr>
    </w:lvl>
  </w:abstractNum>
  <w:abstractNum w:abstractNumId="24">
    <w:multiLevelType w:val="hybridMultilevel"/>
    <w:lvl w:ilvl="0">
      <w:start w:val="1"/>
      <w:numFmt w:val="none"/>
      <w:pStyle w:val="979"/>
      <w:isLgl w:val="false"/>
      <w:suff w:val="tab"/>
      <w:lvlText w:val="%1Приложение"/>
      <w:lvlJc w:val="left"/>
      <w:pPr>
        <w:ind w:left="0" w:firstLine="0"/>
        <w:tabs>
          <w:tab w:val="num" w:pos="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none"/>
      <w:pStyle w:val="957"/>
      <w:isLgl w:val="false"/>
      <w:suff w:val="tab"/>
      <w:lvlText w:val="Таблица "/>
      <w:lvlJc w:val="left"/>
      <w:pPr>
        <w:ind w:left="0" w:firstLine="567"/>
        <w:tabs>
          <w:tab w:val="num" w:pos="567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pStyle w:val="1147"/>
      <w:isLgl w:val="false"/>
      <w:suff w:val="tab"/>
      <w:lvlText w:val="%1."/>
      <w:lvlJc w:val="left"/>
      <w:pPr>
        <w:ind w:left="972" w:hanging="432"/>
        <w:tabs>
          <w:tab w:val="num" w:pos="972" w:leader="none"/>
        </w:tabs>
      </w:pPr>
      <w:rPr>
        <w:rFonts w:hint="default"/>
      </w:rPr>
    </w:lvl>
    <w:lvl w:ilvl="1">
      <w:start w:val="1"/>
      <w:numFmt w:val="decimal"/>
      <w:pStyle w:val="1147"/>
      <w:isLgl w:val="false"/>
      <w:suff w:val="tab"/>
      <w:lvlText w:val="%1.%2."/>
      <w:lvlJc w:val="left"/>
      <w:pPr>
        <w:ind w:left="1116" w:hanging="576"/>
        <w:tabs>
          <w:tab w:val="num" w:pos="111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260" w:hanging="720"/>
        <w:tabs>
          <w:tab w:val="num" w:pos="12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404" w:hanging="864"/>
        <w:tabs>
          <w:tab w:val="num" w:pos="140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548" w:hanging="1008"/>
        <w:tabs>
          <w:tab w:val="num" w:pos="154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692" w:hanging="1152"/>
        <w:tabs>
          <w:tab w:val="num" w:pos="169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836" w:hanging="1296"/>
        <w:tabs>
          <w:tab w:val="num" w:pos="183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980" w:hanging="1440"/>
        <w:tabs>
          <w:tab w:val="num" w:pos="198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24" w:hanging="1584"/>
        <w:tabs>
          <w:tab w:val="num" w:pos="2124" w:leader="none"/>
        </w:tabs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pStyle w:val="971"/>
      <w:isLgl w:val="false"/>
      <w:suff w:val="tab"/>
      <w:lvlText w:val=""/>
      <w:lvlJc w:val="left"/>
      <w:pPr>
        <w:ind w:left="340" w:hanging="227"/>
        <w:tabs>
          <w:tab w:val="num" w:pos="340" w:leader="none"/>
        </w:tabs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0" w:firstLine="57"/>
        <w:tabs>
          <w:tab w:val="num" w:pos="56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trike w:val="0"/>
        <w:vanish w:val="0"/>
        <w:spacing w:val="0"/>
        <w:position w:val="0"/>
        <w:sz w:val="22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1"/>
      <w:numFmt w:val="none"/>
      <w:pStyle w:val="947"/>
      <w:isLgl w:val="false"/>
      <w:suff w:val="tab"/>
      <w:lvlText w:val="Рисунок 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756" w:hanging="576"/>
        <w:tabs>
          <w:tab w:val="num" w:pos="756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646" w:hanging="646"/>
        <w:tabs>
          <w:tab w:val="num" w:pos="646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  <w:b w:val="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pStyle w:val="939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pStyle w:val="940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pStyle w:val="941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pStyle w:val="942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31">
    <w:multiLevelType w:val="hybridMultilevel"/>
    <w:lvl w:ilvl="0">
      <w:start w:val="1"/>
      <w:numFmt w:val="bullet"/>
      <w:pStyle w:val="949"/>
      <w:isLgl w:val="false"/>
      <w:suff w:val="tab"/>
      <w:lvlText w:val="–"/>
      <w:lvlJc w:val="left"/>
      <w:pPr>
        <w:ind w:left="851" w:hanging="284"/>
        <w:tabs>
          <w:tab w:val="num" w:pos="851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pStyle w:val="973"/>
      <w:isLgl w:val="false"/>
      <w:suff w:val="tab"/>
      <w:lvlText w:val="%1."/>
      <w:lvlJc w:val="left"/>
      <w:pPr>
        <w:ind w:left="57" w:firstLine="0"/>
        <w:tabs>
          <w:tab w:val="num" w:pos="57" w:leader="none"/>
        </w:tabs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2"/>
        <w:u w:val="none"/>
        <w:vertAlign w:val="baseli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20"/>
  </w:num>
  <w:num w:numId="2">
    <w:abstractNumId w:val="10"/>
  </w:num>
  <w:num w:numId="3">
    <w:abstractNumId w:val="26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</w:num>
  <w:num w:numId="6">
    <w:abstractNumId w:val="31"/>
  </w:num>
  <w:num w:numId="7">
    <w:abstractNumId w:val="21"/>
  </w:num>
  <w:num w:numId="8">
    <w:abstractNumId w:val="16"/>
  </w:num>
  <w:num w:numId="9">
    <w:abstractNumId w:val="22"/>
  </w:num>
  <w:num w:numId="10">
    <w:abstractNumId w:val="18"/>
  </w:num>
  <w:num w:numId="11">
    <w:abstractNumId w:val="13"/>
  </w:num>
  <w:num w:numId="12">
    <w:abstractNumId w:val="25"/>
  </w:num>
  <w:num w:numId="13">
    <w:abstractNumId w:val="27"/>
  </w:num>
  <w:num w:numId="14">
    <w:abstractNumId w:val="11"/>
  </w:num>
  <w:num w:numId="15">
    <w:abstractNumId w:val="32"/>
  </w:num>
  <w:num w:numId="16">
    <w:abstractNumId w:val="19"/>
  </w:num>
  <w:num w:numId="17">
    <w:abstractNumId w:val="15"/>
  </w:num>
  <w:num w:numId="18">
    <w:abstractNumId w:val="24"/>
  </w:num>
  <w:num w:numId="19">
    <w:abstractNumId w:val="23"/>
  </w:num>
  <w:num w:numId="20">
    <w:abstractNumId w:val="3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8"/>
  </w:num>
  <w:num w:numId="31">
    <w:abstractNumId w:val="14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32"/>
    <w:lvlOverride w:ilvl="0">
      <w:startOverride w:val="1"/>
    </w:lvlOverride>
  </w:num>
  <w:num w:numId="36">
    <w:abstractNumId w:val="32"/>
    <w:lvlOverride w:ilvl="0">
      <w:startOverride w:val="1"/>
    </w:lvlOverride>
  </w:num>
  <w:num w:numId="37">
    <w:abstractNumId w:val="32"/>
    <w:lvlOverride w:ilvl="0">
      <w:startOverride w:val="1"/>
    </w:lvlOverride>
  </w:num>
  <w:num w:numId="38">
    <w:abstractNumId w:val="32"/>
    <w:lvlOverride w:ilvl="0">
      <w:startOverride w:val="1"/>
    </w:lvlOverride>
  </w:num>
  <w:num w:numId="39">
    <w:abstractNumId w:val="12"/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13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splitPgBreakAndParaMark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943"/>
    <w:link w:val="93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943"/>
    <w:link w:val="93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943"/>
    <w:link w:val="936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943"/>
    <w:link w:val="937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943"/>
    <w:link w:val="93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943"/>
    <w:link w:val="93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943"/>
    <w:link w:val="9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943"/>
    <w:link w:val="94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943"/>
    <w:link w:val="942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93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943"/>
    <w:link w:val="1101"/>
    <w:uiPriority w:val="10"/>
    <w:rPr>
      <w:sz w:val="48"/>
      <w:szCs w:val="48"/>
    </w:rPr>
  </w:style>
  <w:style w:type="character" w:styleId="37">
    <w:name w:val="Subtitle Char"/>
    <w:basedOn w:val="943"/>
    <w:link w:val="1013"/>
    <w:uiPriority w:val="11"/>
    <w:rPr>
      <w:sz w:val="24"/>
      <w:szCs w:val="24"/>
    </w:rPr>
  </w:style>
  <w:style w:type="paragraph" w:styleId="38">
    <w:name w:val="Quote"/>
    <w:basedOn w:val="933"/>
    <w:next w:val="93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933"/>
    <w:next w:val="93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943"/>
    <w:link w:val="953"/>
    <w:uiPriority w:val="99"/>
  </w:style>
  <w:style w:type="character" w:styleId="45">
    <w:name w:val="Footer Char"/>
    <w:basedOn w:val="943"/>
    <w:link w:val="1119"/>
    <w:uiPriority w:val="99"/>
  </w:style>
  <w:style w:type="character" w:styleId="47">
    <w:name w:val="Caption Char"/>
    <w:basedOn w:val="983"/>
    <w:link w:val="1119"/>
    <w:uiPriority w:val="99"/>
  </w:style>
  <w:style w:type="table" w:styleId="49">
    <w:name w:val="Table Grid Light"/>
    <w:basedOn w:val="9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9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9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9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9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9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9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9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9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9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9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9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1006"/>
    <w:uiPriority w:val="99"/>
    <w:rPr>
      <w:sz w:val="18"/>
    </w:rPr>
  </w:style>
  <w:style w:type="character" w:styleId="179">
    <w:name w:val="Endnote Text Char"/>
    <w:link w:val="1122"/>
    <w:uiPriority w:val="99"/>
    <w:rPr>
      <w:sz w:val="20"/>
    </w:rPr>
  </w:style>
  <w:style w:type="paragraph" w:styleId="190">
    <w:name w:val="TOC Heading"/>
    <w:uiPriority w:val="39"/>
    <w:unhideWhenUsed/>
  </w:style>
  <w:style w:type="paragraph" w:styleId="933" w:default="1">
    <w:name w:val="Normal"/>
    <w:qFormat/>
    <w:pPr>
      <w:ind w:firstLine="567"/>
      <w:jc w:val="both"/>
    </w:pPr>
    <w:rPr>
      <w:sz w:val="24"/>
    </w:rPr>
  </w:style>
  <w:style w:type="paragraph" w:styleId="934">
    <w:name w:val="Heading 1"/>
    <w:next w:val="958"/>
    <w:qFormat/>
    <w:pPr>
      <w:numPr>
        <w:ilvl w:val="0"/>
        <w:numId w:val="19"/>
      </w:numPr>
      <w:contextualSpacing/>
      <w:jc w:val="center"/>
      <w:keepNext/>
      <w:pageBreakBefore/>
      <w:spacing w:before="240" w:after="360"/>
      <w:outlineLvl w:val="0"/>
    </w:pPr>
    <w:rPr>
      <w:b/>
      <w:caps/>
      <w:sz w:val="32"/>
      <w:szCs w:val="36"/>
    </w:rPr>
  </w:style>
  <w:style w:type="paragraph" w:styleId="935">
    <w:name w:val="Heading 2"/>
    <w:basedOn w:val="934"/>
    <w:next w:val="958"/>
    <w:link w:val="1144"/>
    <w:qFormat/>
    <w:pPr>
      <w:numPr>
        <w:ilvl w:val="1"/>
      </w:numPr>
      <w:jc w:val="left"/>
      <w:pageBreakBefore w:val="0"/>
      <w:spacing w:after="240"/>
      <w:outlineLvl w:val="1"/>
    </w:pPr>
    <w:rPr>
      <w:rFonts w:cs="Arial"/>
      <w:bCs/>
      <w:iCs/>
      <w:caps w:val="0"/>
      <w:szCs w:val="32"/>
    </w:rPr>
  </w:style>
  <w:style w:type="paragraph" w:styleId="936">
    <w:name w:val="Heading 3"/>
    <w:basedOn w:val="935"/>
    <w:next w:val="958"/>
    <w:link w:val="1145"/>
    <w:qFormat/>
    <w:pPr>
      <w:numPr>
        <w:ilvl w:val="2"/>
      </w:numPr>
      <w:keepLines/>
      <w:outlineLvl w:val="2"/>
    </w:pPr>
    <w:rPr>
      <w:bCs w:val="0"/>
      <w:sz w:val="26"/>
      <w:szCs w:val="26"/>
    </w:rPr>
  </w:style>
  <w:style w:type="paragraph" w:styleId="937">
    <w:name w:val="Heading 4"/>
    <w:basedOn w:val="936"/>
    <w:next w:val="958"/>
    <w:link w:val="1146"/>
    <w:qFormat/>
    <w:pPr>
      <w:numPr>
        <w:ilvl w:val="3"/>
      </w:numPr>
      <w:outlineLvl w:val="3"/>
    </w:pPr>
    <w:rPr>
      <w:sz w:val="24"/>
    </w:rPr>
  </w:style>
  <w:style w:type="paragraph" w:styleId="938">
    <w:name w:val="Heading 5"/>
    <w:next w:val="958"/>
    <w:qFormat/>
    <w:pPr>
      <w:ind w:left="567"/>
      <w:keepNext/>
      <w:spacing w:before="240" w:after="120"/>
      <w:tabs>
        <w:tab w:val="left" w:pos="567" w:leader="none"/>
      </w:tabs>
      <w:outlineLvl w:val="4"/>
    </w:pPr>
    <w:rPr>
      <w:b/>
      <w:bCs/>
      <w:iCs/>
      <w:sz w:val="24"/>
      <w:szCs w:val="26"/>
    </w:rPr>
  </w:style>
  <w:style w:type="paragraph" w:styleId="939">
    <w:name w:val="Heading 6"/>
    <w:basedOn w:val="933"/>
    <w:next w:val="933"/>
    <w:qFormat/>
    <w:pPr>
      <w:numPr>
        <w:ilvl w:val="5"/>
        <w:numId w:val="20"/>
      </w:numPr>
      <w:ind w:left="0" w:firstLine="0"/>
      <w:spacing w:before="240" w:after="60"/>
      <w:tabs>
        <w:tab w:val="num" w:pos="360" w:leader="none"/>
        <w:tab w:val="clear" w:pos="1152" w:leader="none"/>
      </w:tabs>
      <w:outlineLvl w:val="5"/>
    </w:pPr>
    <w:rPr>
      <w:b/>
      <w:bCs/>
      <w:sz w:val="22"/>
      <w:szCs w:val="22"/>
    </w:rPr>
  </w:style>
  <w:style w:type="paragraph" w:styleId="940">
    <w:name w:val="Heading 7"/>
    <w:basedOn w:val="933"/>
    <w:next w:val="933"/>
    <w:qFormat/>
    <w:pPr>
      <w:numPr>
        <w:ilvl w:val="6"/>
        <w:numId w:val="20"/>
      </w:numPr>
      <w:ind w:left="0" w:firstLine="0"/>
      <w:spacing w:before="240" w:after="60"/>
      <w:tabs>
        <w:tab w:val="num" w:pos="360" w:leader="none"/>
        <w:tab w:val="clear" w:pos="1296" w:leader="none"/>
      </w:tabs>
      <w:outlineLvl w:val="6"/>
    </w:pPr>
  </w:style>
  <w:style w:type="paragraph" w:styleId="941">
    <w:name w:val="Heading 8"/>
    <w:basedOn w:val="933"/>
    <w:next w:val="933"/>
    <w:qFormat/>
    <w:pPr>
      <w:numPr>
        <w:ilvl w:val="7"/>
        <w:numId w:val="20"/>
      </w:numPr>
      <w:ind w:left="0" w:firstLine="0"/>
      <w:spacing w:before="240" w:after="60"/>
      <w:tabs>
        <w:tab w:val="num" w:pos="360" w:leader="none"/>
        <w:tab w:val="clear" w:pos="1440" w:leader="none"/>
      </w:tabs>
      <w:outlineLvl w:val="7"/>
    </w:pPr>
    <w:rPr>
      <w:i/>
      <w:iCs/>
    </w:rPr>
  </w:style>
  <w:style w:type="paragraph" w:styleId="942">
    <w:name w:val="Heading 9"/>
    <w:basedOn w:val="933"/>
    <w:next w:val="933"/>
    <w:qFormat/>
    <w:pPr>
      <w:numPr>
        <w:ilvl w:val="8"/>
        <w:numId w:val="20"/>
      </w:numPr>
      <w:ind w:left="0" w:firstLine="0"/>
      <w:spacing w:before="240" w:after="60"/>
      <w:tabs>
        <w:tab w:val="num" w:pos="360" w:leader="none"/>
        <w:tab w:val="clear" w:pos="1584" w:leader="none"/>
      </w:tabs>
      <w:outlineLvl w:val="8"/>
    </w:pPr>
    <w:rPr>
      <w:rFonts w:ascii="Arial" w:hAnsi="Arial"/>
      <w:sz w:val="22"/>
      <w:szCs w:val="22"/>
    </w:rPr>
  </w:style>
  <w:style w:type="character" w:styleId="943" w:default="1">
    <w:name w:val="Default Paragraph Font"/>
    <w:uiPriority w:val="1"/>
    <w:semiHidden/>
    <w:unhideWhenUsed/>
  </w:style>
  <w:style w:type="table" w:styleId="9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5" w:default="1">
    <w:name w:val="No List"/>
    <w:uiPriority w:val="99"/>
    <w:semiHidden/>
    <w:unhideWhenUsed/>
  </w:style>
  <w:style w:type="paragraph" w:styleId="946" w:customStyle="1">
    <w:name w:val="_ASFK_Figure"/>
    <w:next w:val="933"/>
    <w:link w:val="1124"/>
    <w:pPr>
      <w:jc w:val="center"/>
      <w:keepNext/>
      <w:spacing w:before="120" w:after="120"/>
    </w:pPr>
    <w:rPr>
      <w:sz w:val="24"/>
    </w:rPr>
  </w:style>
  <w:style w:type="paragraph" w:styleId="947" w:customStyle="1">
    <w:name w:val="_ASFK_Fig_Name"/>
    <w:basedOn w:val="946"/>
    <w:next w:val="958"/>
    <w:link w:val="1125"/>
    <w:pPr>
      <w:numPr>
        <w:ilvl w:val="0"/>
        <w:numId w:val="5"/>
      </w:numPr>
      <w:contextualSpacing/>
      <w:keepNext w:val="0"/>
    </w:pPr>
    <w:rPr>
      <w:b/>
      <w:szCs w:val="24"/>
    </w:rPr>
  </w:style>
  <w:style w:type="paragraph" w:styleId="948" w:customStyle="1">
    <w:name w:val="_ASFK_header"/>
    <w:rPr>
      <w:color w:val="333333"/>
      <w:sz w:val="22"/>
    </w:rPr>
  </w:style>
  <w:style w:type="paragraph" w:styleId="949" w:customStyle="1">
    <w:name w:val="_ASFK_List_mark1"/>
    <w:link w:val="1126"/>
    <w:pPr>
      <w:numPr>
        <w:ilvl w:val="0"/>
        <w:numId w:val="6"/>
      </w:numPr>
      <w:jc w:val="both"/>
    </w:pPr>
    <w:rPr>
      <w:sz w:val="24"/>
    </w:rPr>
  </w:style>
  <w:style w:type="paragraph" w:styleId="950" w:customStyle="1">
    <w:name w:val="_ASFK_List_mark2"/>
    <w:link w:val="1143"/>
    <w:pPr>
      <w:numPr>
        <w:ilvl w:val="0"/>
        <w:numId w:val="7"/>
      </w:numPr>
      <w:jc w:val="both"/>
    </w:pPr>
    <w:rPr>
      <w:sz w:val="24"/>
    </w:rPr>
  </w:style>
  <w:style w:type="paragraph" w:styleId="951" w:customStyle="1">
    <w:name w:val="_ASFK_List_mark3"/>
    <w:pPr>
      <w:numPr>
        <w:ilvl w:val="0"/>
        <w:numId w:val="8"/>
      </w:numPr>
    </w:pPr>
    <w:rPr>
      <w:sz w:val="24"/>
    </w:rPr>
  </w:style>
  <w:style w:type="paragraph" w:styleId="952" w:customStyle="1">
    <w:name w:val="_ASFK_List_mark4"/>
    <w:pPr>
      <w:numPr>
        <w:ilvl w:val="0"/>
        <w:numId w:val="9"/>
      </w:numPr>
    </w:pPr>
    <w:rPr>
      <w:sz w:val="24"/>
    </w:rPr>
  </w:style>
  <w:style w:type="paragraph" w:styleId="953">
    <w:name w:val="Header"/>
    <w:basedOn w:val="933"/>
    <w:pPr>
      <w:tabs>
        <w:tab w:val="center" w:pos="4677" w:leader="none"/>
        <w:tab w:val="right" w:pos="9355" w:leader="none"/>
      </w:tabs>
    </w:pPr>
  </w:style>
  <w:style w:type="paragraph" w:styleId="954" w:customStyle="1">
    <w:name w:val="_ASFK_List_note"/>
    <w:basedOn w:val="951"/>
    <w:pPr>
      <w:numPr>
        <w:ilvl w:val="0"/>
        <w:numId w:val="0"/>
      </w:numPr>
    </w:pPr>
  </w:style>
  <w:style w:type="paragraph" w:styleId="955" w:customStyle="1">
    <w:name w:val="Dates/Notes"/>
    <w:basedOn w:val="933"/>
    <w:pPr>
      <w:ind w:firstLine="0"/>
    </w:pPr>
    <w:rPr>
      <w:rFonts w:ascii="Arial" w:hAnsi="Arial"/>
      <w:b/>
      <w:sz w:val="20"/>
      <w:szCs w:val="24"/>
      <w:lang w:val="en-US"/>
    </w:rPr>
  </w:style>
  <w:style w:type="paragraph" w:styleId="956" w:customStyle="1">
    <w:name w:val="_ASFK_List_num2"/>
    <w:basedOn w:val="1137"/>
    <w:pPr>
      <w:numPr>
        <w:ilvl w:val="1"/>
      </w:numPr>
    </w:pPr>
    <w:rPr>
      <w:szCs w:val="24"/>
    </w:rPr>
  </w:style>
  <w:style w:type="paragraph" w:styleId="957" w:customStyle="1">
    <w:name w:val="_ASFK_Name_Table"/>
    <w:link w:val="1127"/>
    <w:pPr>
      <w:numPr>
        <w:ilvl w:val="0"/>
        <w:numId w:val="12"/>
      </w:numPr>
      <w:keepNext/>
      <w:spacing w:before="240" w:after="120"/>
    </w:pPr>
    <w:rPr>
      <w:b/>
      <w:sz w:val="24"/>
    </w:rPr>
  </w:style>
  <w:style w:type="paragraph" w:styleId="958" w:customStyle="1">
    <w:name w:val="_ASFK_Normal"/>
    <w:link w:val="1139"/>
    <w:pPr>
      <w:contextualSpacing/>
      <w:ind w:firstLine="567"/>
      <w:jc w:val="both"/>
      <w:spacing w:before="120" w:after="60"/>
    </w:pPr>
    <w:rPr>
      <w:sz w:val="24"/>
    </w:rPr>
  </w:style>
  <w:style w:type="paragraph" w:styleId="959" w:customStyle="1">
    <w:name w:val="_ASFK_Normal_Without"/>
    <w:basedOn w:val="958"/>
    <w:next w:val="958"/>
    <w:link w:val="1156"/>
    <w:pPr>
      <w:keepNext/>
    </w:pPr>
  </w:style>
  <w:style w:type="paragraph" w:styleId="960" w:customStyle="1">
    <w:name w:val="_ASFK_Note"/>
    <w:next w:val="958"/>
    <w:link w:val="1140"/>
    <w:pPr>
      <w:ind w:left="1701" w:hanging="1701"/>
      <w:jc w:val="both"/>
      <w:spacing w:before="120" w:after="120"/>
    </w:pPr>
    <w:rPr>
      <w:sz w:val="24"/>
    </w:rPr>
  </w:style>
  <w:style w:type="paragraph" w:styleId="961" w:customStyle="1">
    <w:name w:val="_ASFK_Note_Continue"/>
    <w:basedOn w:val="960"/>
    <w:pPr>
      <w:ind w:firstLine="0"/>
    </w:pPr>
  </w:style>
  <w:style w:type="paragraph" w:styleId="962" w:customStyle="1">
    <w:name w:val="_ASFK_Reg"/>
    <w:pPr>
      <w:contextualSpacing/>
      <w:jc w:val="center"/>
      <w:keepNext/>
      <w:pageBreakBefore/>
      <w:spacing w:before="120" w:after="120"/>
      <w:outlineLvl w:val="0"/>
    </w:pPr>
    <w:rPr>
      <w:b/>
      <w:caps/>
      <w:sz w:val="28"/>
    </w:rPr>
  </w:style>
  <w:style w:type="paragraph" w:styleId="963" w:customStyle="1">
    <w:name w:val="_ASFK_Script"/>
    <w:basedOn w:val="933"/>
    <w:pPr>
      <w:ind w:left="567" w:right="29"/>
      <w:pBdr>
        <w:top w:val="single" w:color="000000" w:sz="4" w:space="1"/>
        <w:left w:val="single" w:color="000000" w:sz="4" w:space="4"/>
        <w:bottom w:val="single" w:color="000000" w:sz="4" w:space="1"/>
        <w:right w:val="single" w:color="000000" w:sz="4" w:space="4"/>
      </w:pBdr>
    </w:pPr>
    <w:rPr>
      <w:rFonts w:ascii="Courier New" w:hAnsi="Courier New"/>
      <w:spacing w:val="-20"/>
      <w:sz w:val="20"/>
      <w:lang w:val="en-US"/>
    </w:rPr>
  </w:style>
  <w:style w:type="paragraph" w:styleId="964" w:customStyle="1">
    <w:name w:val="_ASFK_Sign"/>
    <w:basedOn w:val="962"/>
    <w:pPr>
      <w:pageBreakBefore w:val="0"/>
      <w:outlineLvl w:val="9"/>
    </w:pPr>
  </w:style>
  <w:style w:type="character" w:styleId="965" w:customStyle="1">
    <w:name w:val="_ASFK_Sym_Bold"/>
    <w:rPr>
      <w:b/>
    </w:rPr>
  </w:style>
  <w:style w:type="character" w:styleId="966" w:customStyle="1">
    <w:name w:val="_ASFK_Sym_Bold_Italic"/>
    <w:rPr>
      <w:b/>
      <w:i/>
    </w:rPr>
  </w:style>
  <w:style w:type="character" w:styleId="967" w:customStyle="1">
    <w:name w:val="_ASFK_Sym_Italic"/>
    <w:rPr>
      <w:i/>
    </w:rPr>
  </w:style>
  <w:style w:type="table" w:styleId="968" w:customStyle="1">
    <w:name w:val="_ASFK_Table"/>
    <w:basedOn w:val="944"/>
    <w:pPr>
      <w:jc w:val="both"/>
    </w:pPr>
    <w:rPr>
      <w:sz w:val="22"/>
    </w:rPr>
    <w:tblPr>
      <w:tblStyleRow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57" w:type="dxa"/>
        <w:right w:w="57" w:type="dxa"/>
      </w:tblCellMar>
    </w:tblPr>
    <w:tblStylePr w:type="band1Horz">
      <w:rPr>
        <w:rFonts w:ascii="Times New Roman" w:hAnsi="Times New Roman"/>
        <w:sz w:val="24"/>
      </w:rPr>
      <w:pPr>
        <w:ind w:left="57" w:right="57" w:firstLine="0"/>
        <w:jc w:val="left"/>
        <w:spacing w:before="60" w:beforeAutospacing="0" w:after="60" w:afterAutospacing="0" w:line="240" w:lineRule="auto"/>
        <w:outlineLvl w:val="9"/>
      </w:pPr>
    </w:tblStylePr>
    <w:tblStylePr w:type="band2Horz">
      <w:rPr>
        <w:rFonts w:ascii="Times New Roman" w:hAnsi="Times New Roman"/>
        <w:sz w:val="24"/>
      </w:rPr>
      <w:pPr>
        <w:contextualSpacing w:val="0"/>
        <w:ind w:left="57" w:right="57" w:firstLine="0"/>
        <w:jc w:val="left"/>
        <w:spacing w:before="60" w:beforeAutospacing="0" w:after="60" w:afterAutospacing="0"/>
        <w:outlineLvl w:val="9"/>
      </w:pPr>
    </w:tblStylePr>
    <w:tblStylePr w:type="firstRow">
      <w:rPr>
        <w:rFonts w:ascii="Times New Roman" w:hAnsi="Times New Roman"/>
        <w:b w:val="0"/>
        <w:sz w:val="22"/>
      </w:rPr>
      <w:pPr>
        <w:ind w:left="0" w:right="0" w:firstLine="0"/>
        <w:jc w:val="center"/>
        <w:spacing w:before="60" w:beforeAutospacing="0" w:after="60" w:afterAutospacing="0" w:line="240" w:lineRule="auto"/>
        <w:outlineLvl w:val="9"/>
      </w:pPr>
      <w:trPr>
        <w:tblHeader/>
      </w:trPr>
      <w:tcPr>
        <w:shd w:val="clear" w:color="auto" w:fill="e6e6e6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vAlign w:val="center"/>
      </w:tcPr>
    </w:tblStylePr>
  </w:style>
  <w:style w:type="paragraph" w:styleId="969" w:customStyle="1">
    <w:name w:val="_ASFK_Table_norm"/>
    <w:link w:val="1129"/>
    <w:pPr>
      <w:jc w:val="both"/>
      <w:spacing w:before="60" w:after="60"/>
    </w:pPr>
    <w:rPr>
      <w:sz w:val="22"/>
    </w:rPr>
  </w:style>
  <w:style w:type="paragraph" w:styleId="970" w:customStyle="1">
    <w:name w:val="_ASFK_Table_Head"/>
    <w:basedOn w:val="969"/>
    <w:pPr>
      <w:jc w:val="center"/>
      <w:keepNext/>
    </w:pPr>
    <w:rPr>
      <w:b/>
      <w:bCs/>
    </w:rPr>
  </w:style>
  <w:style w:type="paragraph" w:styleId="971" w:customStyle="1">
    <w:name w:val="_ASFK_Table_List_Mark"/>
    <w:pPr>
      <w:numPr>
        <w:ilvl w:val="0"/>
        <w:numId w:val="13"/>
      </w:numPr>
      <w:contextualSpacing/>
      <w:ind w:right="57"/>
      <w:spacing w:before="60" w:after="60"/>
      <w:tabs>
        <w:tab w:val="left" w:pos="170" w:leader="none"/>
      </w:tabs>
    </w:pPr>
    <w:rPr>
      <w:sz w:val="22"/>
    </w:rPr>
  </w:style>
  <w:style w:type="paragraph" w:styleId="972" w:customStyle="1">
    <w:name w:val="_ASFK_Table_List_Num"/>
    <w:basedOn w:val="933"/>
    <w:pPr>
      <w:numPr>
        <w:ilvl w:val="0"/>
        <w:numId w:val="32"/>
      </w:numPr>
      <w:contextualSpacing/>
      <w:ind w:right="57"/>
      <w:jc w:val="left"/>
      <w:spacing w:before="60" w:after="60"/>
    </w:pPr>
    <w:rPr>
      <w:sz w:val="22"/>
      <w:szCs w:val="22"/>
    </w:rPr>
  </w:style>
  <w:style w:type="paragraph" w:styleId="973" w:customStyle="1">
    <w:name w:val="_ASFK_Table_Num"/>
    <w:link w:val="1155"/>
    <w:pPr>
      <w:numPr>
        <w:ilvl w:val="0"/>
        <w:numId w:val="35"/>
      </w:numPr>
      <w:ind w:right="57"/>
      <w:spacing w:before="60" w:after="60"/>
    </w:pPr>
    <w:rPr>
      <w:sz w:val="22"/>
    </w:rPr>
  </w:style>
  <w:style w:type="paragraph" w:styleId="974" w:customStyle="1">
    <w:name w:val="_ASFK_Titul_0"/>
    <w:pPr>
      <w:jc w:val="center"/>
    </w:pPr>
    <w:rPr>
      <w:sz w:val="28"/>
      <w:szCs w:val="28"/>
    </w:rPr>
  </w:style>
  <w:style w:type="paragraph" w:styleId="975" w:customStyle="1">
    <w:name w:val="_ASFK_TITUL_0"/>
    <w:pPr>
      <w:contextualSpacing/>
      <w:jc w:val="center"/>
      <w:spacing w:line="360" w:lineRule="auto"/>
    </w:pPr>
    <w:rPr>
      <w:sz w:val="28"/>
      <w:szCs w:val="28"/>
    </w:rPr>
  </w:style>
  <w:style w:type="paragraph" w:styleId="976" w:customStyle="1">
    <w:name w:val="_ASFK_Titul_1"/>
    <w:pPr>
      <w:contextualSpacing/>
      <w:jc w:val="center"/>
      <w:spacing w:before="240" w:after="240"/>
    </w:pPr>
    <w:rPr>
      <w:sz w:val="32"/>
      <w:szCs w:val="28"/>
    </w:rPr>
  </w:style>
  <w:style w:type="paragraph" w:styleId="977" w:customStyle="1">
    <w:name w:val="_ASFK_Titul_2"/>
    <w:pPr>
      <w:jc w:val="center"/>
    </w:pPr>
    <w:rPr>
      <w:b/>
      <w:caps/>
      <w:sz w:val="32"/>
      <w:szCs w:val="28"/>
    </w:rPr>
  </w:style>
  <w:style w:type="paragraph" w:styleId="978" w:customStyle="1">
    <w:name w:val="_ASFK_Titul_name_doc"/>
    <w:pPr>
      <w:contextualSpacing/>
      <w:jc w:val="center"/>
      <w:spacing w:before="120" w:after="120"/>
    </w:pPr>
    <w:rPr>
      <w:b/>
      <w:sz w:val="32"/>
      <w:szCs w:val="28"/>
    </w:rPr>
  </w:style>
  <w:style w:type="paragraph" w:styleId="979" w:customStyle="1">
    <w:name w:val="Заг_Приложение"/>
    <w:basedOn w:val="934"/>
    <w:next w:val="958"/>
    <w:pPr>
      <w:numPr>
        <w:ilvl w:val="0"/>
        <w:numId w:val="18"/>
      </w:numPr>
    </w:pPr>
  </w:style>
  <w:style w:type="paragraph" w:styleId="980" w:customStyle="1">
    <w:name w:val="Заг_2_Приложение"/>
    <w:basedOn w:val="979"/>
    <w:next w:val="958"/>
    <w:link w:val="981"/>
    <w:pPr>
      <w:numPr>
        <w:ilvl w:val="0"/>
        <w:numId w:val="0"/>
      </w:numPr>
      <w:ind w:left="454" w:hanging="454"/>
      <w:jc w:val="left"/>
      <w:pageBreakBefore w:val="0"/>
      <w:spacing w:after="240"/>
    </w:pPr>
    <w:rPr>
      <w:caps w:val="0"/>
    </w:rPr>
  </w:style>
  <w:style w:type="character" w:styleId="981" w:customStyle="1">
    <w:name w:val="Заг_2_Приложение Знак"/>
    <w:link w:val="980"/>
    <w:rPr>
      <w:b/>
      <w:sz w:val="32"/>
      <w:szCs w:val="36"/>
    </w:rPr>
  </w:style>
  <w:style w:type="paragraph" w:styleId="982" w:customStyle="1">
    <w:name w:val="Заг_3_Приложение"/>
    <w:basedOn w:val="933"/>
    <w:next w:val="958"/>
    <w:pPr>
      <w:contextualSpacing/>
      <w:ind w:left="680" w:hanging="680"/>
      <w:keepNext/>
      <w:spacing w:before="240" w:after="120"/>
      <w:outlineLvl w:val="1"/>
    </w:pPr>
    <w:rPr>
      <w:rFonts w:cs="Arial"/>
      <w:b/>
      <w:bCs/>
      <w:iCs/>
      <w:sz w:val="28"/>
      <w:szCs w:val="28"/>
    </w:rPr>
  </w:style>
  <w:style w:type="paragraph" w:styleId="983">
    <w:name w:val="Caption"/>
    <w:basedOn w:val="933"/>
    <w:next w:val="933"/>
    <w:qFormat/>
    <w:rPr>
      <w:b/>
      <w:bCs/>
      <w:sz w:val="20"/>
    </w:rPr>
  </w:style>
  <w:style w:type="character" w:styleId="984">
    <w:name w:val="Hyperlink"/>
    <w:uiPriority w:val="99"/>
    <w:rPr>
      <w:color w:val="0000ff"/>
      <w:u w:val="single"/>
    </w:rPr>
  </w:style>
  <w:style w:type="paragraph" w:styleId="985">
    <w:name w:val="toc 1"/>
    <w:uiPriority w:val="39"/>
    <w:pPr>
      <w:ind w:left="454" w:right="567" w:hanging="454"/>
      <w:spacing w:before="80" w:after="80"/>
      <w:tabs>
        <w:tab w:val="left" w:pos="454" w:leader="none"/>
        <w:tab w:val="right" w:pos="9631" w:leader="dot"/>
      </w:tabs>
    </w:pPr>
    <w:rPr>
      <w:b/>
      <w:bCs/>
      <w:caps/>
      <w:sz w:val="24"/>
      <w:szCs w:val="24"/>
    </w:rPr>
  </w:style>
  <w:style w:type="paragraph" w:styleId="986">
    <w:name w:val="toc 2"/>
    <w:basedOn w:val="985"/>
    <w:uiPriority w:val="39"/>
    <w:pPr>
      <w:contextualSpacing/>
      <w:ind w:left="851" w:hanging="567"/>
      <w:spacing w:before="60" w:after="60"/>
      <w:tabs>
        <w:tab w:val="clear" w:pos="454" w:leader="none"/>
        <w:tab w:val="left" w:pos="851" w:leader="none"/>
      </w:tabs>
    </w:pPr>
    <w:rPr>
      <w:b w:val="0"/>
      <w:caps w:val="0"/>
    </w:rPr>
  </w:style>
  <w:style w:type="paragraph" w:styleId="987">
    <w:name w:val="toc 3"/>
    <w:basedOn w:val="986"/>
    <w:uiPriority w:val="39"/>
    <w:pPr>
      <w:ind w:left="1418" w:hanging="851"/>
      <w:tabs>
        <w:tab w:val="clear" w:pos="851" w:leader="none"/>
        <w:tab w:val="left" w:pos="1418" w:leader="none"/>
      </w:tabs>
    </w:pPr>
    <w:rPr>
      <w:iCs/>
    </w:rPr>
  </w:style>
  <w:style w:type="paragraph" w:styleId="988">
    <w:name w:val="Body Text Indent"/>
    <w:basedOn w:val="933"/>
    <w:next w:val="933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989">
    <w:name w:val="Body Text Indent 2"/>
    <w:basedOn w:val="933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b/>
      <w:sz w:val="20"/>
    </w:rPr>
  </w:style>
  <w:style w:type="paragraph" w:styleId="990">
    <w:name w:val="Document Map"/>
    <w:basedOn w:val="933"/>
    <w:semiHidden/>
    <w:pPr>
      <w:shd w:val="clear" w:color="auto" w:fill="000080"/>
    </w:pPr>
    <w:rPr>
      <w:rFonts w:ascii="Tahoma" w:hAnsi="Tahoma" w:cs="Tahoma"/>
      <w:sz w:val="20"/>
    </w:rPr>
  </w:style>
  <w:style w:type="paragraph" w:styleId="991">
    <w:name w:val="toc 4"/>
    <w:basedOn w:val="933"/>
    <w:next w:val="933"/>
    <w:pPr>
      <w:ind w:left="1872" w:right="567" w:hanging="1021"/>
      <w:tabs>
        <w:tab w:val="left" w:pos="1871" w:leader="none"/>
        <w:tab w:val="right" w:pos="9630" w:leader="dot"/>
      </w:tabs>
    </w:pPr>
  </w:style>
  <w:style w:type="paragraph" w:styleId="992">
    <w:name w:val="Body Text 3"/>
    <w:basedOn w:val="933"/>
    <w:semiHidden/>
    <w:pPr>
      <w:spacing w:after="120"/>
    </w:pPr>
    <w:rPr>
      <w:sz w:val="16"/>
      <w:szCs w:val="16"/>
    </w:rPr>
  </w:style>
  <w:style w:type="paragraph" w:styleId="993" w:customStyle="1">
    <w:name w:val="_ASFK_List_normal_1"/>
    <w:basedOn w:val="1131"/>
    <w:pPr>
      <w:ind w:left="851"/>
      <w:tabs>
        <w:tab w:val="clear" w:pos="567" w:leader="none"/>
        <w:tab w:val="left" w:pos="851" w:leader="none"/>
      </w:tabs>
    </w:pPr>
  </w:style>
  <w:style w:type="numbering" w:styleId="994">
    <w:name w:val="Outline List 2"/>
    <w:basedOn w:val="945"/>
    <w:semiHidden/>
    <w:pPr>
      <w:numPr>
        <w:ilvl w:val="0"/>
        <w:numId w:val="16"/>
      </w:numPr>
    </w:pPr>
  </w:style>
  <w:style w:type="numbering" w:styleId="995">
    <w:name w:val="Outline List 1"/>
    <w:basedOn w:val="945"/>
    <w:semiHidden/>
    <w:pPr>
      <w:numPr>
        <w:ilvl w:val="0"/>
        <w:numId w:val="17"/>
      </w:numPr>
    </w:pPr>
  </w:style>
  <w:style w:type="paragraph" w:styleId="996">
    <w:name w:val="Balloon Text"/>
    <w:basedOn w:val="933"/>
    <w:semiHidden/>
    <w:rPr>
      <w:rFonts w:ascii="Tahoma" w:hAnsi="Tahoma" w:cs="Tahoma"/>
      <w:sz w:val="16"/>
      <w:szCs w:val="16"/>
    </w:rPr>
  </w:style>
  <w:style w:type="paragraph" w:styleId="997" w:customStyle="1">
    <w:name w:val="_ASFK_List_normal_2"/>
    <w:basedOn w:val="1131"/>
    <w:pPr>
      <w:ind w:left="1134"/>
      <w:tabs>
        <w:tab w:val="clear" w:pos="567" w:leader="none"/>
        <w:tab w:val="left" w:pos="1134" w:leader="none"/>
      </w:tabs>
    </w:pPr>
  </w:style>
  <w:style w:type="paragraph" w:styleId="998">
    <w:name w:val="annotation text"/>
    <w:basedOn w:val="933"/>
    <w:semiHidden/>
    <w:rPr>
      <w:sz w:val="20"/>
    </w:rPr>
  </w:style>
  <w:style w:type="paragraph" w:styleId="999">
    <w:name w:val="annotation subject"/>
    <w:basedOn w:val="998"/>
    <w:next w:val="998"/>
    <w:semiHidden/>
    <w:rPr>
      <w:b/>
      <w:bCs/>
    </w:rPr>
  </w:style>
  <w:style w:type="paragraph" w:styleId="1000">
    <w:name w:val="toc 5"/>
    <w:basedOn w:val="933"/>
    <w:next w:val="933"/>
    <w:pPr>
      <w:ind w:left="960"/>
      <w:jc w:val="left"/>
    </w:pPr>
    <w:rPr>
      <w:sz w:val="18"/>
      <w:szCs w:val="18"/>
    </w:rPr>
  </w:style>
  <w:style w:type="paragraph" w:styleId="1001">
    <w:name w:val="toc 6"/>
    <w:basedOn w:val="933"/>
    <w:next w:val="933"/>
    <w:pPr>
      <w:ind w:left="1200"/>
      <w:jc w:val="left"/>
    </w:pPr>
    <w:rPr>
      <w:sz w:val="18"/>
      <w:szCs w:val="18"/>
    </w:rPr>
  </w:style>
  <w:style w:type="paragraph" w:styleId="1002">
    <w:name w:val="toc 7"/>
    <w:basedOn w:val="933"/>
    <w:next w:val="933"/>
    <w:pPr>
      <w:ind w:left="1440"/>
      <w:jc w:val="left"/>
    </w:pPr>
    <w:rPr>
      <w:sz w:val="18"/>
      <w:szCs w:val="18"/>
    </w:rPr>
  </w:style>
  <w:style w:type="paragraph" w:styleId="1003">
    <w:name w:val="toc 8"/>
    <w:basedOn w:val="933"/>
    <w:next w:val="933"/>
    <w:pPr>
      <w:ind w:left="1680"/>
      <w:jc w:val="left"/>
    </w:pPr>
    <w:rPr>
      <w:sz w:val="18"/>
      <w:szCs w:val="18"/>
    </w:rPr>
  </w:style>
  <w:style w:type="paragraph" w:styleId="1004">
    <w:name w:val="toc 9"/>
    <w:basedOn w:val="933"/>
    <w:next w:val="933"/>
    <w:pPr>
      <w:ind w:left="1920"/>
      <w:jc w:val="left"/>
    </w:pPr>
    <w:rPr>
      <w:sz w:val="18"/>
      <w:szCs w:val="18"/>
    </w:rPr>
  </w:style>
  <w:style w:type="character" w:styleId="1005">
    <w:name w:val="footnote reference"/>
    <w:rPr>
      <w:vertAlign w:val="superscript"/>
    </w:rPr>
  </w:style>
  <w:style w:type="paragraph" w:styleId="1006">
    <w:name w:val="footnote text"/>
    <w:semiHidden/>
  </w:style>
  <w:style w:type="paragraph" w:styleId="1007">
    <w:name w:val="List 4"/>
    <w:basedOn w:val="933"/>
    <w:semiHidden/>
    <w:pPr>
      <w:ind w:left="1132" w:hanging="283"/>
    </w:pPr>
  </w:style>
  <w:style w:type="paragraph" w:styleId="1008">
    <w:name w:val="Body Text 2"/>
    <w:basedOn w:val="933"/>
    <w:semiHidden/>
    <w:pPr>
      <w:spacing w:after="120" w:line="480" w:lineRule="auto"/>
    </w:pPr>
  </w:style>
  <w:style w:type="paragraph" w:styleId="1009">
    <w:name w:val="Body Text Indent 3"/>
    <w:basedOn w:val="933"/>
    <w:semiHidden/>
    <w:pPr>
      <w:ind w:left="283"/>
      <w:spacing w:after="120"/>
    </w:pPr>
    <w:rPr>
      <w:sz w:val="16"/>
      <w:szCs w:val="16"/>
    </w:rPr>
  </w:style>
  <w:style w:type="character" w:styleId="1010">
    <w:name w:val="FollowedHyperlink"/>
    <w:semiHidden/>
    <w:rPr>
      <w:color w:val="800080"/>
      <w:u w:val="single"/>
    </w:rPr>
  </w:style>
  <w:style w:type="character" w:styleId="1011">
    <w:name w:val="HTML Variable"/>
    <w:semiHidden/>
    <w:rPr>
      <w:i/>
      <w:iCs/>
    </w:rPr>
  </w:style>
  <w:style w:type="character" w:styleId="1012">
    <w:name w:val="HTML Typewriter"/>
    <w:semiHidden/>
    <w:rPr>
      <w:rFonts w:ascii="Courier New" w:hAnsi="Courier New" w:cs="Courier New"/>
      <w:sz w:val="20"/>
      <w:szCs w:val="20"/>
    </w:rPr>
  </w:style>
  <w:style w:type="paragraph" w:styleId="1013">
    <w:name w:val="Subtitle"/>
    <w:basedOn w:val="933"/>
    <w:qFormat/>
    <w:pPr>
      <w:jc w:val="center"/>
      <w:spacing w:after="60"/>
      <w:outlineLvl w:val="1"/>
    </w:pPr>
    <w:rPr>
      <w:rFonts w:ascii="Arial" w:hAnsi="Arial" w:cs="Arial"/>
    </w:rPr>
  </w:style>
  <w:style w:type="paragraph" w:styleId="1014">
    <w:name w:val="Salutation"/>
    <w:basedOn w:val="933"/>
    <w:next w:val="933"/>
    <w:semiHidden/>
  </w:style>
  <w:style w:type="paragraph" w:styleId="1015">
    <w:name w:val="List Continue"/>
    <w:basedOn w:val="933"/>
    <w:semiHidden/>
    <w:pPr>
      <w:ind w:left="283"/>
      <w:spacing w:after="120"/>
    </w:pPr>
  </w:style>
  <w:style w:type="paragraph" w:styleId="1016">
    <w:name w:val="List Continue 2"/>
    <w:basedOn w:val="933"/>
    <w:semiHidden/>
    <w:pPr>
      <w:ind w:left="566"/>
      <w:spacing w:after="120"/>
    </w:pPr>
  </w:style>
  <w:style w:type="paragraph" w:styleId="1017">
    <w:name w:val="List Continue 3"/>
    <w:basedOn w:val="933"/>
    <w:semiHidden/>
    <w:pPr>
      <w:ind w:left="849"/>
      <w:spacing w:after="120"/>
    </w:pPr>
  </w:style>
  <w:style w:type="paragraph" w:styleId="1018">
    <w:name w:val="List Continue 4"/>
    <w:basedOn w:val="933"/>
    <w:semiHidden/>
    <w:pPr>
      <w:ind w:left="1132"/>
      <w:spacing w:after="120"/>
    </w:pPr>
  </w:style>
  <w:style w:type="paragraph" w:styleId="1019">
    <w:name w:val="List Continue 5"/>
    <w:basedOn w:val="933"/>
    <w:semiHidden/>
    <w:pPr>
      <w:ind w:left="1415"/>
      <w:spacing w:after="120"/>
    </w:pPr>
  </w:style>
  <w:style w:type="table" w:styleId="1020">
    <w:name w:val="Table Simple 1"/>
    <w:basedOn w:val="944"/>
    <w:semiHidden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1021">
    <w:name w:val="Table Simple 2"/>
    <w:basedOn w:val="944"/>
    <w:semiHidden/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000000" w:sz="0" w:space="0"/>
        </w:tcBorders>
      </w:tcPr>
    </w:tblStylePr>
    <w:tblStylePr w:type="swCell">
      <w:rPr>
        <w:b/>
        <w:bCs/>
      </w:rPr>
      <w:tcPr>
        <w:tcBorders>
          <w:top w:val="none" w:color="000000" w:sz="0" w:space="0"/>
        </w:tcBorders>
      </w:tcPr>
    </w:tblStylePr>
  </w:style>
  <w:style w:type="table" w:styleId="1022">
    <w:name w:val="Table Simple 3"/>
    <w:basedOn w:val="944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1023">
    <w:name w:val="Table Grid 1"/>
    <w:basedOn w:val="944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1024">
    <w:name w:val="Table Grid 2"/>
    <w:basedOn w:val="944"/>
    <w:semiHidden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025">
    <w:name w:val="Table Grid 3"/>
    <w:basedOn w:val="944"/>
    <w:semiHidden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26">
    <w:name w:val="Table Grid 4"/>
    <w:basedOn w:val="944"/>
    <w:semiHidden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027">
    <w:name w:val="Table Grid 5"/>
    <w:basedOn w:val="944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28">
    <w:name w:val="Table Grid 6"/>
    <w:basedOn w:val="944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1029">
    <w:name w:val="Table Grid 7"/>
    <w:basedOn w:val="944"/>
    <w:semiHidden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1030">
    <w:name w:val="Table Grid 8"/>
    <w:basedOn w:val="944"/>
    <w:semiHidden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1031">
    <w:name w:val="Table Contemporary"/>
    <w:basedOn w:val="944"/>
    <w:semiHidden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paragraph" w:styleId="1032">
    <w:name w:val="List"/>
    <w:basedOn w:val="933"/>
    <w:semiHidden/>
    <w:pPr>
      <w:ind w:left="283" w:hanging="283"/>
    </w:pPr>
  </w:style>
  <w:style w:type="paragraph" w:styleId="1033">
    <w:name w:val="List 2"/>
    <w:basedOn w:val="933"/>
    <w:semiHidden/>
    <w:pPr>
      <w:ind w:left="566" w:hanging="283"/>
    </w:pPr>
  </w:style>
  <w:style w:type="paragraph" w:styleId="1034">
    <w:name w:val="List 3"/>
    <w:basedOn w:val="933"/>
    <w:semiHidden/>
    <w:pPr>
      <w:ind w:left="849" w:hanging="283"/>
    </w:pPr>
  </w:style>
  <w:style w:type="paragraph" w:styleId="1035">
    <w:name w:val="List 5"/>
    <w:basedOn w:val="933"/>
    <w:semiHidden/>
    <w:pPr>
      <w:ind w:left="1415" w:hanging="283"/>
    </w:pPr>
  </w:style>
  <w:style w:type="table" w:styleId="1036">
    <w:name w:val="Table Professional"/>
    <w:basedOn w:val="944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paragraph" w:styleId="1037">
    <w:name w:val="HTML Preformatted"/>
    <w:basedOn w:val="933"/>
    <w:semiHidden/>
    <w:rPr>
      <w:rFonts w:ascii="Courier New" w:hAnsi="Courier New" w:cs="Courier New"/>
      <w:sz w:val="20"/>
    </w:rPr>
  </w:style>
  <w:style w:type="numbering" w:styleId="1038">
    <w:name w:val="Outline List 3"/>
    <w:basedOn w:val="945"/>
    <w:semiHidden/>
    <w:pPr>
      <w:numPr>
        <w:ilvl w:val="0"/>
        <w:numId w:val="31"/>
      </w:numPr>
    </w:pPr>
  </w:style>
  <w:style w:type="table" w:styleId="1039">
    <w:name w:val="Table Columns 1"/>
    <w:basedOn w:val="944"/>
    <w:semiHidden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40">
    <w:name w:val="Table Columns 2"/>
    <w:basedOn w:val="944"/>
    <w:semiHidden/>
    <w:rPr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41">
    <w:name w:val="Table Columns 3"/>
    <w:basedOn w:val="944"/>
    <w:semiHidden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1042">
    <w:name w:val="Table Columns 4"/>
    <w:basedOn w:val="944"/>
    <w:semiHidden/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43">
    <w:name w:val="Table Columns 5"/>
    <w:basedOn w:val="944"/>
    <w:semiHidden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character" w:styleId="1044">
    <w:name w:val="Strong"/>
    <w:qFormat/>
    <w:rPr>
      <w:b/>
      <w:bCs/>
    </w:rPr>
  </w:style>
  <w:style w:type="table" w:styleId="1045">
    <w:name w:val="Table List 1"/>
    <w:basedOn w:val="944"/>
    <w:semiHidden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046">
    <w:name w:val="Table List 2"/>
    <w:basedOn w:val="944"/>
    <w:semiHidden/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047">
    <w:name w:val="Table List 3"/>
    <w:basedOn w:val="944"/>
    <w:semiHidden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1048">
    <w:name w:val="Table List 4"/>
    <w:basedOn w:val="944"/>
    <w:semiHidden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049">
    <w:name w:val="Table List 5"/>
    <w:basedOn w:val="944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050">
    <w:name w:val="Table List 6"/>
    <w:basedOn w:val="944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051">
    <w:name w:val="Table List 7"/>
    <w:basedOn w:val="944"/>
    <w:semiHidden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1052">
    <w:name w:val="Table List 8"/>
    <w:basedOn w:val="944"/>
    <w:semiHidden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paragraph" w:styleId="1053">
    <w:name w:val="Plain Text"/>
    <w:basedOn w:val="933"/>
    <w:semiHidden/>
    <w:rPr>
      <w:rFonts w:ascii="Courier New" w:hAnsi="Courier New" w:cs="Courier New"/>
      <w:sz w:val="20"/>
    </w:rPr>
  </w:style>
  <w:style w:type="table" w:styleId="1054">
    <w:name w:val="Table Theme"/>
    <w:basedOn w:val="944"/>
    <w:semiHidden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55">
    <w:name w:val="Table Colorful 1"/>
    <w:basedOn w:val="944"/>
    <w:semiHidden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056">
    <w:name w:val="Table Colorful 2"/>
    <w:basedOn w:val="944"/>
    <w:semiHidden/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057">
    <w:name w:val="Table Colorful 3"/>
    <w:basedOn w:val="944"/>
    <w:semiHidden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paragraph" w:styleId="1058">
    <w:name w:val="Block Text"/>
    <w:basedOn w:val="933"/>
    <w:semiHidden/>
    <w:pPr>
      <w:ind w:left="1440" w:right="1440"/>
      <w:spacing w:after="120"/>
    </w:pPr>
  </w:style>
  <w:style w:type="character" w:styleId="1059">
    <w:name w:val="HTML Cite"/>
    <w:semiHidden/>
    <w:rPr>
      <w:i/>
      <w:iCs/>
    </w:rPr>
  </w:style>
  <w:style w:type="paragraph" w:styleId="1060">
    <w:name w:val="Message Header"/>
    <w:basedOn w:val="933"/>
    <w:semiHidden/>
    <w:pPr>
      <w:ind w:left="1134" w:hanging="1134"/>
      <w:shd w:val="pct20" w:color="auto" w:fill="auto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Arial" w:hAnsi="Arial" w:cs="Arial"/>
    </w:rPr>
  </w:style>
  <w:style w:type="paragraph" w:styleId="1061">
    <w:name w:val="E-mail Signature"/>
    <w:basedOn w:val="933"/>
    <w:semiHidden/>
  </w:style>
  <w:style w:type="paragraph" w:styleId="1062">
    <w:name w:val="Signature"/>
    <w:basedOn w:val="933"/>
    <w:semiHidden/>
    <w:pPr>
      <w:ind w:left="4252"/>
    </w:pPr>
  </w:style>
  <w:style w:type="paragraph" w:styleId="1063">
    <w:name w:val="index 1"/>
    <w:basedOn w:val="933"/>
    <w:next w:val="933"/>
    <w:semiHidden/>
    <w:pPr>
      <w:ind w:left="720" w:hanging="360"/>
      <w:spacing w:line="360" w:lineRule="auto"/>
      <w:widowControl w:val="off"/>
      <w:tabs>
        <w:tab w:val="num" w:pos="720" w:leader="none"/>
        <w:tab w:val="left" w:pos="1985" w:leader="none"/>
        <w:tab w:val="left" w:pos="2127" w:leader="none"/>
      </w:tabs>
    </w:pPr>
  </w:style>
  <w:style w:type="paragraph" w:styleId="1064">
    <w:name w:val="index heading"/>
    <w:basedOn w:val="933"/>
    <w:next w:val="1063"/>
    <w:semiHidden/>
    <w:pPr>
      <w:ind w:firstLine="425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65">
    <w:name w:val="index 2"/>
    <w:basedOn w:val="933"/>
    <w:next w:val="933"/>
    <w:semiHidden/>
    <w:pPr>
      <w:ind w:left="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66">
    <w:name w:val="index 3"/>
    <w:basedOn w:val="933"/>
    <w:next w:val="933"/>
    <w:semiHidden/>
    <w:pPr>
      <w:ind w:left="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67">
    <w:name w:val="index 4"/>
    <w:basedOn w:val="933"/>
    <w:next w:val="933"/>
    <w:semiHidden/>
    <w:pPr>
      <w:ind w:left="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68">
    <w:name w:val="index 5"/>
    <w:basedOn w:val="933"/>
    <w:next w:val="933"/>
    <w:semiHidden/>
    <w:pPr>
      <w:ind w:left="10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69">
    <w:name w:val="index 6"/>
    <w:basedOn w:val="933"/>
    <w:next w:val="933"/>
    <w:semiHidden/>
    <w:pPr>
      <w:ind w:left="12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70">
    <w:name w:val="index 7"/>
    <w:basedOn w:val="933"/>
    <w:next w:val="933"/>
    <w:semiHidden/>
    <w:pPr>
      <w:ind w:left="14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71">
    <w:name w:val="index 8"/>
    <w:basedOn w:val="933"/>
    <w:next w:val="933"/>
    <w:semiHidden/>
    <w:pPr>
      <w:ind w:left="16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72">
    <w:name w:val="index 9"/>
    <w:basedOn w:val="933"/>
    <w:next w:val="933"/>
    <w:semiHidden/>
    <w:pPr>
      <w:ind w:left="1800" w:hanging="200"/>
      <w:spacing w:line="360" w:lineRule="auto"/>
      <w:widowControl w:val="off"/>
      <w:tabs>
        <w:tab w:val="left" w:pos="1985" w:leader="none"/>
        <w:tab w:val="left" w:pos="2127" w:leader="none"/>
      </w:tabs>
    </w:pPr>
    <w:rPr>
      <w:sz w:val="20"/>
    </w:rPr>
  </w:style>
  <w:style w:type="paragraph" w:styleId="1073">
    <w:name w:val="List Bullet"/>
    <w:basedOn w:val="933"/>
    <w:semiHidden/>
    <w:pPr>
      <w:numPr>
        <w:ilvl w:val="0"/>
        <w:numId w:val="21"/>
      </w:numPr>
      <w:ind w:left="0" w:firstLine="0"/>
    </w:pPr>
  </w:style>
  <w:style w:type="paragraph" w:styleId="1074">
    <w:name w:val="List Number"/>
    <w:basedOn w:val="933"/>
    <w:semiHidden/>
    <w:pPr>
      <w:numPr>
        <w:ilvl w:val="0"/>
        <w:numId w:val="30"/>
      </w:numPr>
      <w:ind w:left="0" w:firstLine="0"/>
    </w:pPr>
  </w:style>
  <w:style w:type="paragraph" w:styleId="1075">
    <w:name w:val="HTML Address"/>
    <w:basedOn w:val="933"/>
    <w:semiHidden/>
    <w:rPr>
      <w:i/>
      <w:iCs/>
    </w:rPr>
  </w:style>
  <w:style w:type="paragraph" w:styleId="1076">
    <w:name w:val="envelope address"/>
    <w:basedOn w:val="933"/>
    <w:semiHidden/>
    <w:pPr>
      <w:ind w:left="2880"/>
      <w:framePr w:w="7920" w:h="1980" w:hSpace="180" w:wrap="auto" w:hAnchor="page" w:xAlign="center" w:yAlign="bottom" w:hRule="exact"/>
    </w:pPr>
    <w:rPr>
      <w:rFonts w:ascii="Arial" w:hAnsi="Arial" w:cs="Arial"/>
    </w:rPr>
  </w:style>
  <w:style w:type="character" w:styleId="1077">
    <w:name w:val="HTML Acronym"/>
    <w:semiHidden/>
  </w:style>
  <w:style w:type="table" w:styleId="1078">
    <w:name w:val="Table Web 1"/>
    <w:basedOn w:val="944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79">
    <w:name w:val="Table Web 2"/>
    <w:basedOn w:val="944"/>
    <w:semiHidden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80">
    <w:name w:val="Table Web 3"/>
    <w:basedOn w:val="944"/>
    <w:semiHidden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character" w:styleId="1081">
    <w:name w:val="Emphasis"/>
    <w:qFormat/>
    <w:rPr>
      <w:i/>
      <w:iCs/>
    </w:rPr>
  </w:style>
  <w:style w:type="paragraph" w:styleId="1082">
    <w:name w:val="Date"/>
    <w:basedOn w:val="933"/>
    <w:next w:val="933"/>
    <w:semiHidden/>
  </w:style>
  <w:style w:type="paragraph" w:styleId="1083">
    <w:name w:val="Note Heading"/>
    <w:basedOn w:val="933"/>
    <w:next w:val="933"/>
    <w:semiHidden/>
  </w:style>
  <w:style w:type="character" w:styleId="1084">
    <w:name w:val="annotation reference"/>
    <w:semiHidden/>
    <w:rPr>
      <w:sz w:val="16"/>
      <w:szCs w:val="16"/>
    </w:rPr>
  </w:style>
  <w:style w:type="table" w:styleId="1085">
    <w:name w:val="Table Elegant"/>
    <w:basedOn w:val="944"/>
    <w:semiHidden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086">
    <w:name w:val="Table Subtle 1"/>
    <w:basedOn w:val="944"/>
    <w:semiHidden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87">
    <w:name w:val="Table Subtle 2"/>
    <w:basedOn w:val="944"/>
    <w:semiHidden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1088">
    <w:name w:val="HTML Keyboard"/>
    <w:semiHidden/>
    <w:rPr>
      <w:rFonts w:ascii="Courier New" w:hAnsi="Courier New" w:cs="Courier New"/>
      <w:sz w:val="20"/>
      <w:szCs w:val="20"/>
    </w:rPr>
  </w:style>
  <w:style w:type="table" w:styleId="1089">
    <w:name w:val="Table Classic 1"/>
    <w:basedOn w:val="944"/>
    <w:semiHidden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1090">
    <w:name w:val="Table Classic 2"/>
    <w:basedOn w:val="944"/>
    <w:semiHidden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1091">
    <w:name w:val="Table Classic 3"/>
    <w:basedOn w:val="944"/>
    <w:semiHidden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092">
    <w:name w:val="Table Classic 4"/>
    <w:basedOn w:val="944"/>
    <w:semiHidden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1093">
    <w:name w:val="HTML Code"/>
    <w:semiHidden/>
    <w:rPr>
      <w:rFonts w:ascii="Courier New" w:hAnsi="Courier New" w:cs="Courier New"/>
      <w:sz w:val="20"/>
      <w:szCs w:val="20"/>
    </w:rPr>
  </w:style>
  <w:style w:type="paragraph" w:styleId="1094">
    <w:name w:val="Body Text"/>
    <w:basedOn w:val="933"/>
    <w:semiHidden/>
    <w:pPr>
      <w:spacing w:after="240"/>
    </w:pPr>
  </w:style>
  <w:style w:type="paragraph" w:styleId="1095">
    <w:name w:val="Body Text First Indent"/>
    <w:basedOn w:val="1094"/>
    <w:semiHidden/>
    <w:pPr>
      <w:ind w:firstLine="210"/>
      <w:jc w:val="left"/>
      <w:spacing w:after="120"/>
    </w:pPr>
  </w:style>
  <w:style w:type="paragraph" w:styleId="1096">
    <w:name w:val="Body Text First Indent 2"/>
    <w:basedOn w:val="988"/>
    <w:semiHidden/>
    <w:pPr>
      <w:ind w:left="283" w:firstLine="210"/>
      <w:jc w:val="left"/>
      <w:spacing w:after="120" w:line="240" w:lineRule="auto"/>
      <w:widowControl/>
      <w:tabs>
        <w:tab w:val="clear" w:pos="1985" w:leader="none"/>
        <w:tab w:val="clear" w:pos="2127" w:leader="none"/>
      </w:tabs>
    </w:pPr>
    <w:rPr>
      <w:sz w:val="24"/>
      <w:szCs w:val="24"/>
    </w:rPr>
  </w:style>
  <w:style w:type="paragraph" w:styleId="1097">
    <w:name w:val="List Bullet 2"/>
    <w:basedOn w:val="933"/>
    <w:semiHidden/>
    <w:pPr>
      <w:numPr>
        <w:ilvl w:val="0"/>
        <w:numId w:val="22"/>
      </w:numPr>
      <w:ind w:left="0" w:firstLine="0"/>
      <w:tabs>
        <w:tab w:val="num" w:pos="360" w:leader="none"/>
        <w:tab w:val="clear" w:pos="643" w:leader="none"/>
      </w:tabs>
    </w:pPr>
  </w:style>
  <w:style w:type="paragraph" w:styleId="1098">
    <w:name w:val="List Bullet 3"/>
    <w:basedOn w:val="933"/>
    <w:semiHidden/>
    <w:pPr>
      <w:numPr>
        <w:ilvl w:val="0"/>
        <w:numId w:val="23"/>
      </w:numPr>
      <w:ind w:left="0" w:firstLine="0"/>
      <w:spacing w:line="360" w:lineRule="auto"/>
      <w:widowControl w:val="off"/>
      <w:tabs>
        <w:tab w:val="num" w:pos="360" w:leader="none"/>
        <w:tab w:val="clear" w:pos="926" w:leader="none"/>
        <w:tab w:val="left" w:pos="1985" w:leader="none"/>
        <w:tab w:val="left" w:pos="2127" w:leader="none"/>
      </w:tabs>
    </w:pPr>
  </w:style>
  <w:style w:type="paragraph" w:styleId="1099">
    <w:name w:val="List Bullet 4"/>
    <w:basedOn w:val="933"/>
    <w:semiHidden/>
    <w:pPr>
      <w:numPr>
        <w:ilvl w:val="0"/>
        <w:numId w:val="24"/>
      </w:numPr>
      <w:ind w:left="0" w:firstLine="0"/>
      <w:tabs>
        <w:tab w:val="num" w:pos="360" w:leader="none"/>
        <w:tab w:val="clear" w:pos="1209" w:leader="none"/>
      </w:tabs>
    </w:pPr>
  </w:style>
  <w:style w:type="paragraph" w:styleId="1100">
    <w:name w:val="List Bullet 5"/>
    <w:basedOn w:val="933"/>
    <w:semiHidden/>
    <w:pPr>
      <w:numPr>
        <w:ilvl w:val="0"/>
        <w:numId w:val="25"/>
      </w:numPr>
      <w:ind w:left="0" w:firstLine="0"/>
      <w:tabs>
        <w:tab w:val="num" w:pos="360" w:leader="none"/>
        <w:tab w:val="clear" w:pos="1492" w:leader="none"/>
      </w:tabs>
    </w:pPr>
  </w:style>
  <w:style w:type="paragraph" w:styleId="1101">
    <w:name w:val="Title"/>
    <w:basedOn w:val="933"/>
    <w:qFormat/>
    <w:pPr>
      <w:jc w:val="center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1102">
    <w:name w:val="page number"/>
    <w:semiHidden/>
  </w:style>
  <w:style w:type="character" w:styleId="1103">
    <w:name w:val="line number"/>
    <w:semiHidden/>
  </w:style>
  <w:style w:type="paragraph" w:styleId="1104">
    <w:name w:val="List Number 2"/>
    <w:basedOn w:val="933"/>
    <w:semiHidden/>
    <w:pPr>
      <w:numPr>
        <w:ilvl w:val="0"/>
        <w:numId w:val="26"/>
      </w:numPr>
      <w:ind w:left="0" w:firstLine="0"/>
      <w:tabs>
        <w:tab w:val="num" w:pos="360" w:leader="none"/>
        <w:tab w:val="clear" w:pos="643" w:leader="none"/>
      </w:tabs>
    </w:pPr>
  </w:style>
  <w:style w:type="paragraph" w:styleId="1105">
    <w:name w:val="List Number 3"/>
    <w:basedOn w:val="933"/>
    <w:semiHidden/>
    <w:pPr>
      <w:numPr>
        <w:ilvl w:val="0"/>
        <w:numId w:val="27"/>
      </w:numPr>
      <w:ind w:left="0" w:firstLine="0"/>
      <w:tabs>
        <w:tab w:val="num" w:pos="360" w:leader="none"/>
        <w:tab w:val="clear" w:pos="926" w:leader="none"/>
      </w:tabs>
    </w:pPr>
  </w:style>
  <w:style w:type="paragraph" w:styleId="1106">
    <w:name w:val="List Number 4"/>
    <w:basedOn w:val="933"/>
    <w:semiHidden/>
    <w:pPr>
      <w:numPr>
        <w:ilvl w:val="0"/>
        <w:numId w:val="28"/>
      </w:numPr>
      <w:ind w:left="0" w:firstLine="0"/>
      <w:tabs>
        <w:tab w:val="num" w:pos="360" w:leader="none"/>
        <w:tab w:val="clear" w:pos="1209" w:leader="none"/>
      </w:tabs>
    </w:pPr>
  </w:style>
  <w:style w:type="paragraph" w:styleId="1107">
    <w:name w:val="List Number 5"/>
    <w:basedOn w:val="933"/>
    <w:semiHidden/>
    <w:pPr>
      <w:numPr>
        <w:ilvl w:val="0"/>
        <w:numId w:val="29"/>
      </w:numPr>
      <w:ind w:left="0" w:firstLine="0"/>
      <w:tabs>
        <w:tab w:val="num" w:pos="360" w:leader="none"/>
        <w:tab w:val="clear" w:pos="1492" w:leader="none"/>
      </w:tabs>
    </w:pPr>
  </w:style>
  <w:style w:type="character" w:styleId="1108">
    <w:name w:val="HTML Sample"/>
    <w:semiHidden/>
    <w:rPr>
      <w:rFonts w:ascii="Courier New" w:hAnsi="Courier New" w:cs="Courier New"/>
    </w:rPr>
  </w:style>
  <w:style w:type="paragraph" w:styleId="1109">
    <w:name w:val="envelope return"/>
    <w:basedOn w:val="933"/>
    <w:semiHidden/>
    <w:rPr>
      <w:rFonts w:ascii="Arial" w:hAnsi="Arial" w:cs="Arial"/>
      <w:sz w:val="20"/>
    </w:rPr>
  </w:style>
  <w:style w:type="table" w:styleId="1110">
    <w:name w:val="Table 3D effects 1"/>
    <w:basedOn w:val="944"/>
    <w:semiHidden/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000000" w:sz="0" w:space="0"/>
          <w:right w:val="none" w:color="000000" w:sz="0" w:space="0"/>
        </w:tcBorders>
      </w:tcPr>
    </w:tblStylePr>
    <w:tblStylePr w:type="neCell">
      <w:tcPr>
        <w:tcBorders>
          <w:left w:val="none" w:color="000000" w:sz="0" w:space="0"/>
          <w:bottom w:val="none" w:color="000000" w:sz="0" w:space="0"/>
        </w:tcBorders>
      </w:tcPr>
    </w:tblStylePr>
    <w:tblStylePr w:type="swCell">
      <w:rPr>
        <w:color w:val="000080"/>
      </w:rPr>
      <w:tcPr>
        <w:tcBorders>
          <w:top w:val="none" w:color="000000" w:sz="0" w:space="0"/>
          <w:right w:val="none" w:color="000000" w:sz="0" w:space="0"/>
        </w:tcBorders>
      </w:tcPr>
    </w:tblStylePr>
    <w:tblStylePr w:type="seCell">
      <w:tcPr>
        <w:tcBorders>
          <w:top w:val="none" w:color="000000" w:sz="0" w:space="0"/>
          <w:left w:val="none" w:color="000000" w:sz="0" w:space="0"/>
        </w:tcBorders>
      </w:tcPr>
    </w:tblStylePr>
  </w:style>
  <w:style w:type="table" w:styleId="1111">
    <w:name w:val="Table 3D effects 2"/>
    <w:basedOn w:val="944"/>
    <w:semiHidden/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112">
    <w:name w:val="Table 3D effects 3"/>
    <w:basedOn w:val="944"/>
    <w:semiHidden/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000000" w:sz="0" w:space="0"/>
          <w:bottom w:val="none" w:color="000000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paragraph" w:styleId="1113">
    <w:name w:val="Normal (Web)"/>
    <w:basedOn w:val="933"/>
    <w:semiHidden/>
  </w:style>
  <w:style w:type="paragraph" w:styleId="1114">
    <w:name w:val="Normal Indent"/>
    <w:basedOn w:val="933"/>
    <w:semiHidden/>
    <w:pPr>
      <w:ind w:left="708"/>
    </w:pPr>
  </w:style>
  <w:style w:type="character" w:styleId="1115">
    <w:name w:val="HTML Definition"/>
    <w:semiHidden/>
    <w:rPr>
      <w:i/>
      <w:iCs/>
    </w:rPr>
  </w:style>
  <w:style w:type="paragraph" w:styleId="1116">
    <w:name w:val="table of figures"/>
    <w:basedOn w:val="933"/>
    <w:next w:val="933"/>
    <w:uiPriority w:val="99"/>
    <w:pPr>
      <w:ind w:left="1134" w:right="567" w:hanging="1134"/>
      <w:jc w:val="left"/>
      <w:tabs>
        <w:tab w:val="left" w:pos="1134" w:leader="none"/>
        <w:tab w:val="left" w:pos="1418" w:leader="none"/>
        <w:tab w:val="right" w:pos="9628" w:leader="dot"/>
      </w:tabs>
    </w:pPr>
  </w:style>
  <w:style w:type="paragraph" w:styleId="1117" w:customStyle="1">
    <w:name w:val="_ASFK_List_normal_3"/>
    <w:basedOn w:val="1131"/>
    <w:pPr>
      <w:ind w:left="1418"/>
      <w:tabs>
        <w:tab w:val="clear" w:pos="567" w:leader="none"/>
        <w:tab w:val="left" w:pos="1418" w:leader="none"/>
      </w:tabs>
    </w:pPr>
  </w:style>
  <w:style w:type="paragraph" w:styleId="1118" w:customStyle="1">
    <w:name w:val="_ASFK_List_normal_4"/>
    <w:basedOn w:val="1117"/>
    <w:pPr>
      <w:ind w:left="1701"/>
      <w:tabs>
        <w:tab w:val="clear" w:pos="1418" w:leader="none"/>
        <w:tab w:val="left" w:pos="1701" w:leader="none"/>
      </w:tabs>
    </w:pPr>
  </w:style>
  <w:style w:type="paragraph" w:styleId="1119">
    <w:name w:val="Footer"/>
    <w:basedOn w:val="933"/>
    <w:semiHidden/>
    <w:pPr>
      <w:tabs>
        <w:tab w:val="center" w:pos="4677" w:leader="none"/>
        <w:tab w:val="right" w:pos="9355" w:leader="none"/>
      </w:tabs>
    </w:pPr>
  </w:style>
  <w:style w:type="paragraph" w:styleId="1120">
    <w:name w:val="Closing"/>
    <w:basedOn w:val="933"/>
    <w:semiHidden/>
    <w:pPr>
      <w:ind w:left="4252"/>
    </w:pPr>
  </w:style>
  <w:style w:type="table" w:styleId="1121">
    <w:name w:val="Table Grid"/>
    <w:basedOn w:val="944"/>
    <w:pPr>
      <w:ind w:firstLine="567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22">
    <w:name w:val="endnote text"/>
    <w:basedOn w:val="933"/>
    <w:semiHidden/>
    <w:rPr>
      <w:sz w:val="20"/>
    </w:rPr>
  </w:style>
  <w:style w:type="character" w:styleId="1123">
    <w:name w:val="endnote reference"/>
    <w:semiHidden/>
    <w:rPr>
      <w:vertAlign w:val="superscript"/>
    </w:rPr>
  </w:style>
  <w:style w:type="character" w:styleId="1124" w:customStyle="1">
    <w:name w:val="_ASFK_Figure Знак Знак"/>
    <w:link w:val="946"/>
    <w:rPr>
      <w:sz w:val="24"/>
    </w:rPr>
  </w:style>
  <w:style w:type="character" w:styleId="1125" w:customStyle="1">
    <w:name w:val="_ASFK_Fig_Name Знак Знак"/>
    <w:link w:val="947"/>
    <w:rPr>
      <w:b/>
      <w:sz w:val="24"/>
      <w:szCs w:val="24"/>
    </w:rPr>
  </w:style>
  <w:style w:type="character" w:styleId="1126" w:customStyle="1">
    <w:name w:val="_ASFK_List_mark1 Знак Знак"/>
    <w:link w:val="949"/>
    <w:rPr>
      <w:sz w:val="24"/>
    </w:rPr>
  </w:style>
  <w:style w:type="character" w:styleId="1127" w:customStyle="1">
    <w:name w:val="_ASFK_Name_Table Знак Знак"/>
    <w:link w:val="957"/>
    <w:rPr>
      <w:b/>
      <w:sz w:val="24"/>
    </w:rPr>
  </w:style>
  <w:style w:type="paragraph" w:styleId="1128" w:customStyle="1">
    <w:name w:val="UG_Table_Head"/>
    <w:basedOn w:val="933"/>
    <w:semiHidden/>
    <w:pPr>
      <w:numPr>
        <w:ilvl w:val="0"/>
        <w:numId w:val="1"/>
      </w:numPr>
      <w:contextualSpacing/>
      <w:ind w:left="0" w:firstLine="0"/>
      <w:jc w:val="center"/>
      <w:keepLines/>
      <w:keepNext/>
      <w:spacing w:before="60" w:after="60"/>
      <w:tabs>
        <w:tab w:val="clear" w:pos="340" w:leader="none"/>
      </w:tabs>
    </w:pPr>
    <w:rPr>
      <w:b/>
      <w:lang w:eastAsia="en-US"/>
    </w:rPr>
  </w:style>
  <w:style w:type="character" w:styleId="1129" w:customStyle="1">
    <w:name w:val="_ASFK_Table_norm Знак"/>
    <w:link w:val="969"/>
    <w:rPr>
      <w:sz w:val="22"/>
    </w:rPr>
  </w:style>
  <w:style w:type="paragraph" w:styleId="1130" w:customStyle="1">
    <w:name w:val="_ASFK_List_mark5"/>
    <w:pPr>
      <w:numPr>
        <w:ilvl w:val="0"/>
        <w:numId w:val="10"/>
      </w:numPr>
    </w:pPr>
    <w:rPr>
      <w:sz w:val="24"/>
    </w:rPr>
  </w:style>
  <w:style w:type="paragraph" w:styleId="1131" w:customStyle="1">
    <w:name w:val="_ASFK_List_normal"/>
    <w:pPr>
      <w:contextualSpacing/>
      <w:ind w:left="567"/>
      <w:jc w:val="both"/>
      <w:spacing w:before="60" w:after="60"/>
      <w:tabs>
        <w:tab w:val="left" w:pos="567" w:leader="none"/>
      </w:tabs>
    </w:pPr>
    <w:rPr>
      <w:sz w:val="24"/>
    </w:rPr>
  </w:style>
  <w:style w:type="paragraph" w:styleId="1132" w:customStyle="1">
    <w:name w:val="_ASFK_List_normal_1.8"/>
    <w:basedOn w:val="1131"/>
    <w:pPr>
      <w:ind w:left="1021"/>
      <w:tabs>
        <w:tab w:val="clear" w:pos="567" w:leader="none"/>
        <w:tab w:val="left" w:pos="1021" w:leader="none"/>
      </w:tabs>
    </w:pPr>
  </w:style>
  <w:style w:type="paragraph" w:styleId="1133" w:customStyle="1">
    <w:name w:val="_ASFK_List_normal_2.8"/>
    <w:basedOn w:val="1131"/>
    <w:pPr>
      <w:ind w:left="1588"/>
      <w:tabs>
        <w:tab w:val="clear" w:pos="567" w:leader="none"/>
        <w:tab w:val="left" w:pos="1588" w:leader="none"/>
      </w:tabs>
    </w:pPr>
  </w:style>
  <w:style w:type="paragraph" w:styleId="1134" w:customStyle="1">
    <w:name w:val="_ASFK_List_normal_5"/>
    <w:basedOn w:val="1118"/>
    <w:pPr>
      <w:ind w:left="1985"/>
      <w:tabs>
        <w:tab w:val="clear" w:pos="1701" w:leader="none"/>
        <w:tab w:val="left" w:pos="1985" w:leader="none"/>
      </w:tabs>
    </w:pPr>
  </w:style>
  <w:style w:type="paragraph" w:styleId="1135" w:customStyle="1">
    <w:name w:val="_ASFK_List_normal_BI"/>
    <w:basedOn w:val="933"/>
    <w:pPr>
      <w:contextualSpacing/>
      <w:ind w:left="1021" w:firstLine="0"/>
      <w:keepNext/>
      <w:spacing w:before="120" w:after="120"/>
      <w:tabs>
        <w:tab w:val="left" w:pos="855" w:leader="none"/>
      </w:tabs>
    </w:pPr>
    <w:rPr>
      <w:b/>
      <w:i/>
    </w:rPr>
  </w:style>
  <w:style w:type="paragraph" w:styleId="1136" w:customStyle="1">
    <w:name w:val="_ASFK_List_normal_Bold"/>
    <w:basedOn w:val="1131"/>
    <w:pPr>
      <w:ind w:left="1021"/>
      <w:keepNext/>
      <w:spacing w:before="120" w:after="120"/>
      <w:tabs>
        <w:tab w:val="left" w:pos="284" w:leader="none"/>
        <w:tab w:val="clear" w:pos="567" w:leader="none"/>
      </w:tabs>
    </w:pPr>
    <w:rPr>
      <w:b/>
    </w:rPr>
  </w:style>
  <w:style w:type="paragraph" w:styleId="1137" w:customStyle="1">
    <w:name w:val="_ASFK_List_num"/>
    <w:link w:val="1154"/>
    <w:pPr>
      <w:numPr>
        <w:ilvl w:val="0"/>
        <w:numId w:val="4"/>
      </w:numPr>
      <w:contextualSpacing/>
      <w:jc w:val="both"/>
      <w:spacing w:before="120" w:after="120"/>
    </w:pPr>
    <w:rPr>
      <w:sz w:val="24"/>
    </w:rPr>
  </w:style>
  <w:style w:type="paragraph" w:styleId="1138" w:customStyle="1">
    <w:name w:val="_ASFK_An"/>
    <w:pPr>
      <w:jc w:val="center"/>
      <w:spacing w:after="240"/>
      <w:outlineLvl w:val="4"/>
    </w:pPr>
    <w:rPr>
      <w:b/>
      <w:sz w:val="32"/>
    </w:rPr>
  </w:style>
  <w:style w:type="character" w:styleId="1139" w:customStyle="1">
    <w:name w:val="_ASFK_Normal Знак"/>
    <w:link w:val="958"/>
    <w:rPr>
      <w:sz w:val="24"/>
    </w:rPr>
  </w:style>
  <w:style w:type="character" w:styleId="1140" w:customStyle="1">
    <w:name w:val="_ASFK_Note Знак Знак"/>
    <w:link w:val="960"/>
    <w:rPr>
      <w:sz w:val="24"/>
    </w:rPr>
  </w:style>
  <w:style w:type="paragraph" w:styleId="1141" w:customStyle="1">
    <w:name w:val="OTR_TITUL_new"/>
    <w:basedOn w:val="933"/>
    <w:semiHidden/>
    <w:pPr>
      <w:ind w:firstLine="0"/>
      <w:jc w:val="center"/>
      <w:spacing w:line="360" w:lineRule="auto"/>
    </w:pPr>
    <w:rPr>
      <w:sz w:val="28"/>
      <w:szCs w:val="28"/>
    </w:rPr>
  </w:style>
  <w:style w:type="paragraph" w:styleId="1142" w:customStyle="1">
    <w:name w:val="Название рисунка"/>
    <w:basedOn w:val="933"/>
    <w:next w:val="933"/>
    <w:semiHidden/>
    <w:pPr>
      <w:numPr>
        <w:ilvl w:val="0"/>
        <w:numId w:val="2"/>
      </w:numPr>
      <w:ind w:left="0"/>
      <w:jc w:val="center"/>
      <w:spacing w:before="120" w:after="120"/>
      <w:tabs>
        <w:tab w:val="num" w:pos="360" w:leader="none"/>
        <w:tab w:val="clear" w:pos="6159" w:leader="none"/>
      </w:tabs>
    </w:pPr>
    <w:rPr>
      <w:b/>
      <w:lang w:val="en-US" w:eastAsia="en-US"/>
    </w:rPr>
  </w:style>
  <w:style w:type="character" w:styleId="1143" w:customStyle="1">
    <w:name w:val="_ASFK_List_mark2 Знак"/>
    <w:link w:val="950"/>
    <w:rPr>
      <w:sz w:val="24"/>
    </w:rPr>
  </w:style>
  <w:style w:type="character" w:styleId="1144" w:customStyle="1">
    <w:name w:val="Заголовок 2 Знак"/>
    <w:link w:val="935"/>
    <w:rPr>
      <w:rFonts w:cs="Arial"/>
      <w:b/>
      <w:bCs/>
      <w:iCs/>
      <w:sz w:val="32"/>
      <w:szCs w:val="32"/>
    </w:rPr>
  </w:style>
  <w:style w:type="character" w:styleId="1145" w:customStyle="1">
    <w:name w:val="Заголовок 3 Знак"/>
    <w:link w:val="936"/>
    <w:rPr>
      <w:rFonts w:cs="Arial"/>
      <w:b/>
      <w:iCs/>
      <w:sz w:val="26"/>
      <w:szCs w:val="26"/>
    </w:rPr>
  </w:style>
  <w:style w:type="character" w:styleId="1146" w:customStyle="1">
    <w:name w:val="Заголовок 4 Знак"/>
    <w:link w:val="937"/>
    <w:rPr>
      <w:rFonts w:cs="Arial"/>
      <w:b/>
      <w:iCs/>
      <w:sz w:val="24"/>
      <w:szCs w:val="26"/>
    </w:rPr>
  </w:style>
  <w:style w:type="paragraph" w:styleId="1147" w:customStyle="1">
    <w:name w:val="Стиль Заголовок 2"/>
    <w:basedOn w:val="935"/>
    <w:semiHidden/>
    <w:pPr>
      <w:numPr>
        <w:ilvl w:val="0"/>
        <w:numId w:val="3"/>
      </w:numPr>
      <w:ind w:left="0" w:firstLine="0"/>
      <w:keepLines/>
      <w:tabs>
        <w:tab w:val="num" w:pos="360" w:leader="none"/>
        <w:tab w:val="left" w:pos="907" w:leader="none"/>
        <w:tab w:val="clear" w:pos="1116" w:leader="none"/>
      </w:tabs>
    </w:pPr>
    <w:rPr>
      <w:bCs w:val="0"/>
      <w:i/>
      <w:sz w:val="28"/>
      <w:lang w:val="en-US" w:eastAsia="en-US"/>
    </w:rPr>
  </w:style>
  <w:style w:type="paragraph" w:styleId="1148" w:customStyle="1">
    <w:name w:val="_ASFK_Code"/>
    <w:pPr>
      <w:contextualSpacing/>
      <w:ind w:left="567" w:right="567" w:firstLine="567"/>
      <w:spacing w:before="120" w:after="120"/>
      <w:shd w:val="clear" w:color="auto" w:fill="e6e6e6"/>
    </w:pPr>
    <w:rPr>
      <w:rFonts w:ascii="Courier New" w:hAnsi="Courier New"/>
    </w:rPr>
  </w:style>
  <w:style w:type="paragraph" w:styleId="1149" w:customStyle="1">
    <w:name w:val="_ASFK_Titul_header"/>
    <w:pPr>
      <w:jc w:val="center"/>
    </w:pPr>
    <w:rPr>
      <w:rFonts w:ascii="Arial" w:hAnsi="Arial"/>
      <w:b/>
      <w:caps/>
      <w:color w:val="404040"/>
      <w:sz w:val="24"/>
    </w:rPr>
  </w:style>
  <w:style w:type="paragraph" w:styleId="1150" w:customStyle="1">
    <w:name w:val="_ASFK_Titul_footer"/>
    <w:pPr>
      <w:jc w:val="center"/>
    </w:pPr>
    <w:rPr>
      <w:color w:val="292929"/>
      <w:sz w:val="28"/>
    </w:rPr>
  </w:style>
  <w:style w:type="character" w:styleId="1151" w:customStyle="1">
    <w:name w:val="_GOST_Sym_Bold"/>
    <w:rPr>
      <w:b/>
    </w:rPr>
  </w:style>
  <w:style w:type="character" w:styleId="1152" w:customStyle="1">
    <w:name w:val="_ASFK_Report_error"/>
  </w:style>
  <w:style w:type="numbering" w:styleId="1153" w:customStyle="1">
    <w:name w:val="Нумерованные"/>
    <w:basedOn w:val="945"/>
    <w:semiHidden/>
    <w:pPr>
      <w:numPr>
        <w:ilvl w:val="0"/>
        <w:numId w:val="41"/>
      </w:numPr>
    </w:pPr>
  </w:style>
  <w:style w:type="character" w:styleId="1154" w:customStyle="1">
    <w:name w:val="_ASFK_List_num Знак"/>
    <w:link w:val="1137"/>
    <w:rPr>
      <w:sz w:val="24"/>
    </w:rPr>
  </w:style>
  <w:style w:type="character" w:styleId="1155" w:customStyle="1">
    <w:name w:val="_ASFK_Table_Num Знак Знак"/>
    <w:link w:val="973"/>
    <w:rPr>
      <w:sz w:val="22"/>
    </w:rPr>
  </w:style>
  <w:style w:type="character" w:styleId="1156" w:customStyle="1">
    <w:name w:val="_ASFK_Normal_Without Знак"/>
    <w:link w:val="959"/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footer" Target="footer4.xml" /><Relationship Id="rId16" Type="http://schemas.openxmlformats.org/officeDocument/2006/relationships/customXml" Target="../customXml/item1.xml" 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0" Type="http://schemas.openxmlformats.org/officeDocument/2006/relationships/image" Target="media/image4.png"/><Relationship Id="rId21" Type="http://schemas.openxmlformats.org/officeDocument/2006/relationships/image" Target="media/image5.png"/><Relationship Id="rId22" Type="http://schemas.openxmlformats.org/officeDocument/2006/relationships/image" Target="media/image6.png"/><Relationship Id="rId23" Type="http://schemas.openxmlformats.org/officeDocument/2006/relationships/image" Target="media/image7.png"/><Relationship Id="rId24" Type="http://schemas.openxmlformats.org/officeDocument/2006/relationships/image" Target="media/image8.png"/><Relationship Id="rId25" Type="http://schemas.openxmlformats.org/officeDocument/2006/relationships/image" Target="media/image9.png"/><Relationship Id="rId26" Type="http://schemas.openxmlformats.org/officeDocument/2006/relationships/image" Target="media/image10.png"/><Relationship Id="rId27" Type="http://schemas.openxmlformats.org/officeDocument/2006/relationships/image" Target="media/image11.png"/><Relationship Id="rId28" Type="http://schemas.openxmlformats.org/officeDocument/2006/relationships/image" Target="media/image12.png"/><Relationship Id="rId29" Type="http://schemas.openxmlformats.org/officeDocument/2006/relationships/image" Target="media/image13.png"/><Relationship Id="rId30" Type="http://schemas.openxmlformats.org/officeDocument/2006/relationships/image" Target="media/image14.png"/><Relationship Id="rId31" Type="http://schemas.openxmlformats.org/officeDocument/2006/relationships/image" Target="media/image15.png"/><Relationship Id="rId32" Type="http://schemas.openxmlformats.org/officeDocument/2006/relationships/image" Target="media/image16.png"/><Relationship Id="rId33" Type="http://schemas.openxmlformats.org/officeDocument/2006/relationships/image" Target="media/image17.png"/><Relationship Id="rId34" Type="http://schemas.openxmlformats.org/officeDocument/2006/relationships/image" Target="media/image18.png"/><Relationship Id="rId35" Type="http://schemas.openxmlformats.org/officeDocument/2006/relationships/image" Target="media/image19.png"/><Relationship Id="rId36" Type="http://schemas.openxmlformats.org/officeDocument/2006/relationships/image" Target="media/image20.png"/><Relationship Id="rId37" Type="http://schemas.openxmlformats.org/officeDocument/2006/relationships/image" Target="media/image21.png"/><Relationship Id="rId38" Type="http://schemas.openxmlformats.org/officeDocument/2006/relationships/image" Target="media/image22.png"/><Relationship Id="rId39" Type="http://schemas.openxmlformats.org/officeDocument/2006/relationships/image" Target="media/image23.png"/><Relationship Id="rId40" Type="http://schemas.openxmlformats.org/officeDocument/2006/relationships/image" Target="media/image24.png"/><Relationship Id="rId41" Type="http://schemas.openxmlformats.org/officeDocument/2006/relationships/image" Target="media/image25.png"/><Relationship Id="rId42" Type="http://schemas.openxmlformats.org/officeDocument/2006/relationships/image" Target="media/image26.png"/><Relationship Id="rId43" Type="http://schemas.openxmlformats.org/officeDocument/2006/relationships/image" Target="media/image27.png"/><Relationship Id="rId44" Type="http://schemas.openxmlformats.org/officeDocument/2006/relationships/image" Target="media/image28.png"/><Relationship Id="rId45" Type="http://schemas.openxmlformats.org/officeDocument/2006/relationships/image" Target="media/image29.png"/><Relationship Id="rId46" Type="http://schemas.openxmlformats.org/officeDocument/2006/relationships/image" Target="media/image30.png"/><Relationship Id="rId47" Type="http://schemas.openxmlformats.org/officeDocument/2006/relationships/image" Target="media/image31.png"/><Relationship Id="rId48" Type="http://schemas.openxmlformats.org/officeDocument/2006/relationships/image" Target="media/image32.png"/><Relationship Id="rId49" Type="http://schemas.openxmlformats.org/officeDocument/2006/relationships/image" Target="media/image33.png"/><Relationship Id="rId50" Type="http://schemas.openxmlformats.org/officeDocument/2006/relationships/image" Target="media/image34.png"/><Relationship Id="rId51" Type="http://schemas.openxmlformats.org/officeDocument/2006/relationships/image" Target="media/image35.png"/><Relationship Id="rId52" Type="http://schemas.openxmlformats.org/officeDocument/2006/relationships/image" Target="media/image36.png"/><Relationship Id="rId53" Type="http://schemas.openxmlformats.org/officeDocument/2006/relationships/image" Target="media/image37.png"/><Relationship Id="rId54" Type="http://schemas.openxmlformats.org/officeDocument/2006/relationships/image" Target="media/image38.png"/><Relationship Id="rId55" Type="http://schemas.openxmlformats.org/officeDocument/2006/relationships/image" Target="media/image39.png"/><Relationship Id="rId56" Type="http://schemas.openxmlformats.org/officeDocument/2006/relationships/image" Target="media/image40.png"/><Relationship Id="rId57" Type="http://schemas.openxmlformats.org/officeDocument/2006/relationships/image" Target="media/image41.png"/><Relationship Id="rId58" Type="http://schemas.openxmlformats.org/officeDocument/2006/relationships/image" Target="media/image42.png"/><Relationship Id="rId59" Type="http://schemas.openxmlformats.org/officeDocument/2006/relationships/image" Target="media/image43.png"/><Relationship Id="rId60" Type="http://schemas.openxmlformats.org/officeDocument/2006/relationships/image" Target="media/image44.png"/><Relationship Id="rId61" Type="http://schemas.openxmlformats.org/officeDocument/2006/relationships/image" Target="media/image45.png"/><Relationship Id="rId62" Type="http://schemas.openxmlformats.org/officeDocument/2006/relationships/image" Target="media/image46.png"/><Relationship Id="rId63" Type="http://schemas.openxmlformats.org/officeDocument/2006/relationships/image" Target="media/image47.png"/><Relationship Id="rId64" Type="http://schemas.openxmlformats.org/officeDocument/2006/relationships/image" Target="media/image48.png"/><Relationship Id="rId65" Type="http://schemas.openxmlformats.org/officeDocument/2006/relationships/image" Target="media/image49.png"/><Relationship Id="rId66" Type="http://schemas.openxmlformats.org/officeDocument/2006/relationships/image" Target="media/image50.png"/><Relationship Id="rId67" Type="http://schemas.openxmlformats.org/officeDocument/2006/relationships/image" Target="media/image51.png"/><Relationship Id="rId68" Type="http://schemas.openxmlformats.org/officeDocument/2006/relationships/image" Target="media/image52.png"/><Relationship Id="rId69" Type="http://schemas.openxmlformats.org/officeDocument/2006/relationships/image" Target="media/image53.png"/><Relationship Id="rId70" Type="http://schemas.openxmlformats.org/officeDocument/2006/relationships/image" Target="media/image54.png"/><Relationship Id="rId71" Type="http://schemas.openxmlformats.org/officeDocument/2006/relationships/image" Target="media/image55.png"/><Relationship Id="rId72" Type="http://schemas.openxmlformats.org/officeDocument/2006/relationships/image" Target="media/image56.png"/><Relationship Id="rId73" Type="http://schemas.openxmlformats.org/officeDocument/2006/relationships/image" Target="media/image57.png"/><Relationship Id="rId74" Type="http://schemas.openxmlformats.org/officeDocument/2006/relationships/image" Target="media/image58.png"/><Relationship Id="rId75" Type="http://schemas.openxmlformats.org/officeDocument/2006/relationships/image" Target="media/image59.png"/><Relationship Id="rId76" Type="http://schemas.openxmlformats.org/officeDocument/2006/relationships/image" Target="media/image60.png"/><Relationship Id="rId77" Type="http://schemas.openxmlformats.org/officeDocument/2006/relationships/image" Target="media/image61.png"/><Relationship Id="rId78" Type="http://schemas.openxmlformats.org/officeDocument/2006/relationships/image" Target="media/image62.png"/><Relationship Id="rId79" Type="http://schemas.openxmlformats.org/officeDocument/2006/relationships/image" Target="media/image63.png"/><Relationship Id="rId80" Type="http://schemas.openxmlformats.org/officeDocument/2006/relationships/image" Target="media/image64.png"/><Relationship Id="rId81" Type="http://schemas.openxmlformats.org/officeDocument/2006/relationships/image" Target="media/image65.png"/><Relationship Id="rId82" Type="http://schemas.openxmlformats.org/officeDocument/2006/relationships/image" Target="media/image66.png"/><Relationship Id="rId83" Type="http://schemas.openxmlformats.org/officeDocument/2006/relationships/image" Target="media/image67.png"/><Relationship Id="rId84" Type="http://schemas.openxmlformats.org/officeDocument/2006/relationships/image" Target="media/image68.png"/><Relationship Id="rId85" Type="http://schemas.openxmlformats.org/officeDocument/2006/relationships/image" Target="media/image69.png"/><Relationship Id="rId86" Type="http://schemas.openxmlformats.org/officeDocument/2006/relationships/image" Target="media/image70.png"/><Relationship Id="rId87" Type="http://schemas.openxmlformats.org/officeDocument/2006/relationships/image" Target="media/image71.png"/><Relationship Id="rId88" Type="http://schemas.openxmlformats.org/officeDocument/2006/relationships/image" Target="media/image72.png"/><Relationship Id="rId89" Type="http://schemas.openxmlformats.org/officeDocument/2006/relationships/image" Target="media/image73.png"/><Relationship Id="rId90" Type="http://schemas.openxmlformats.org/officeDocument/2006/relationships/image" Target="media/image74.png"/><Relationship Id="rId91" Type="http://schemas.openxmlformats.org/officeDocument/2006/relationships/image" Target="media/image75.png"/><Relationship Id="rId92" Type="http://schemas.openxmlformats.org/officeDocument/2006/relationships/image" Target="media/image76.png"/><Relationship Id="rId93" Type="http://schemas.openxmlformats.org/officeDocument/2006/relationships/image" Target="media/image77.png"/><Relationship Id="rId94" Type="http://schemas.openxmlformats.org/officeDocument/2006/relationships/image" Target="media/image78.png"/><Relationship Id="rId95" Type="http://schemas.openxmlformats.org/officeDocument/2006/relationships/image" Target="media/image79.png"/><Relationship Id="rId96" Type="http://schemas.openxmlformats.org/officeDocument/2006/relationships/image" Target="media/image80.png"/><Relationship Id="rId97" Type="http://schemas.openxmlformats.org/officeDocument/2006/relationships/image" Target="media/image81.png"/><Relationship Id="rId98" Type="http://schemas.openxmlformats.org/officeDocument/2006/relationships/image" Target="media/image82.png"/><Relationship Id="rId99" Type="http://schemas.openxmlformats.org/officeDocument/2006/relationships/image" Target="media/image83.png"/><Relationship Id="rId100" Type="http://schemas.openxmlformats.org/officeDocument/2006/relationships/image" Target="media/image84.png"/><Relationship Id="rId101" Type="http://schemas.openxmlformats.org/officeDocument/2006/relationships/image" Target="media/image85.png"/><Relationship Id="rId102" Type="http://schemas.openxmlformats.org/officeDocument/2006/relationships/image" Target="media/image86.png"/><Relationship Id="rId103" Type="http://schemas.openxmlformats.org/officeDocument/2006/relationships/image" Target="media/image87.png"/><Relationship Id="rId104" Type="http://schemas.openxmlformats.org/officeDocument/2006/relationships/image" Target="media/image88.png"/><Relationship Id="rId105" Type="http://schemas.openxmlformats.org/officeDocument/2006/relationships/image" Target="media/image89.png"/><Relationship Id="rId106" Type="http://schemas.openxmlformats.org/officeDocument/2006/relationships/image" Target="media/image90.png"/><Relationship Id="rId107" Type="http://schemas.openxmlformats.org/officeDocument/2006/relationships/image" Target="media/image91.png"/><Relationship Id="rId108" Type="http://schemas.openxmlformats.org/officeDocument/2006/relationships/image" Target="media/image9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B1B03-95C1-42D4-8424-722326ACD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Template_ASFK_(РП_РА).dot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РП_РА</dc:title>
  <dc:creator>alekseev.igor</dc:creator>
  <cp:lastModifiedBy>УФК по Челябинской области</cp:lastModifiedBy>
  <cp:revision>76</cp:revision>
  <dcterms:created xsi:type="dcterms:W3CDTF">2019-09-06T18:01:00Z</dcterms:created>
  <dcterms:modified xsi:type="dcterms:W3CDTF">2025-01-27T11:14:09Z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Руководство по работе с «АРМ Разные участники ЭОД»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54819512.09.01,00.ОМ.004-03.00 6</vt:lpwstr>
  </property>
</Properties>
</file>