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FB67F7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957E33" w:rsidRPr="00957E33">
        <w:rPr>
          <w:sz w:val="28"/>
          <w:szCs w:val="28"/>
        </w:rPr>
        <w:t xml:space="preserve"> </w:t>
      </w:r>
      <w:r w:rsidR="00957E33">
        <w:rPr>
          <w:sz w:val="28"/>
          <w:szCs w:val="28"/>
        </w:rPr>
        <w:t>сентября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Pr="00957E33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участием представителей объектов</w:t>
      </w:r>
      <w:r w:rsidRPr="00957E33">
        <w:rPr>
          <w:rFonts w:eastAsia="Calibri"/>
          <w:sz w:val="28"/>
          <w:szCs w:val="28"/>
        </w:rPr>
        <w:t xml:space="preserve"> контроля</w:t>
      </w:r>
      <w:r>
        <w:rPr>
          <w:rFonts w:eastAsia="Calibri"/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FB67F7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FB67F7" w:rsidRPr="00FB67F7">
        <w:rPr>
          <w:sz w:val="28"/>
          <w:szCs w:val="28"/>
        </w:rPr>
        <w:t>планов</w:t>
      </w:r>
      <w:r w:rsidR="00FB67F7">
        <w:rPr>
          <w:sz w:val="28"/>
          <w:szCs w:val="28"/>
        </w:rPr>
        <w:t>ых</w:t>
      </w:r>
      <w:r w:rsidR="00FB67F7" w:rsidRPr="00FB67F7">
        <w:rPr>
          <w:sz w:val="28"/>
          <w:szCs w:val="28"/>
        </w:rPr>
        <w:t xml:space="preserve"> выездн</w:t>
      </w:r>
      <w:r w:rsidR="00FB67F7">
        <w:rPr>
          <w:sz w:val="28"/>
          <w:szCs w:val="28"/>
        </w:rPr>
        <w:t>ых</w:t>
      </w:r>
      <w:r w:rsidR="00FB67F7" w:rsidRPr="00FB67F7">
        <w:rPr>
          <w:sz w:val="28"/>
          <w:szCs w:val="28"/>
        </w:rPr>
        <w:t xml:space="preserve"> провер</w:t>
      </w:r>
      <w:r w:rsidR="00FB67F7">
        <w:rPr>
          <w:sz w:val="28"/>
          <w:szCs w:val="28"/>
        </w:rPr>
        <w:t>ок:</w:t>
      </w:r>
    </w:p>
    <w:p w:rsidR="00322924" w:rsidRDefault="00FB67F7" w:rsidP="00B87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B67F7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за 2022 – истекший период 2024 года, проведенн</w:t>
      </w:r>
      <w:r>
        <w:rPr>
          <w:sz w:val="28"/>
          <w:szCs w:val="28"/>
        </w:rPr>
        <w:t>ых</w:t>
      </w:r>
      <w:r w:rsidRPr="00FB67F7">
        <w:rPr>
          <w:sz w:val="28"/>
          <w:szCs w:val="28"/>
        </w:rPr>
        <w:t xml:space="preserve"> в Министерстве строительства и инфраструктуры Челябинской области</w:t>
      </w:r>
      <w:r>
        <w:rPr>
          <w:rFonts w:eastAsia="Calibri"/>
          <w:sz w:val="28"/>
          <w:szCs w:val="28"/>
        </w:rPr>
        <w:t>,</w:t>
      </w:r>
      <w:r w:rsidRPr="00FB67F7">
        <w:rPr>
          <w:sz w:val="28"/>
          <w:szCs w:val="28"/>
        </w:rPr>
        <w:t xml:space="preserve"> </w:t>
      </w:r>
      <w:r w:rsidRPr="002F08C8">
        <w:rPr>
          <w:sz w:val="28"/>
          <w:szCs w:val="28"/>
        </w:rPr>
        <w:t>в Муниципальном унитарном предприятии «Челябинские коммунальные тепловые сети»</w:t>
      </w:r>
      <w:r>
        <w:rPr>
          <w:sz w:val="28"/>
          <w:szCs w:val="28"/>
        </w:rPr>
        <w:t>;</w:t>
      </w:r>
    </w:p>
    <w:p w:rsidR="00FB67F7" w:rsidRDefault="00FB67F7" w:rsidP="00FB67F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Pr="00FB67F7">
        <w:rPr>
          <w:sz w:val="28"/>
          <w:szCs w:val="28"/>
          <w:lang w:eastAsia="en-US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операторов, за 2022 – 2023 годы, проведенной в Специализированной некоммерческой организации – фонде «Региональный оператор капитального ремонта общего имущества в многоквартирных домах Челябинской области»</w:t>
      </w:r>
      <w:r>
        <w:rPr>
          <w:sz w:val="28"/>
          <w:szCs w:val="28"/>
          <w:lang w:eastAsia="en-US"/>
        </w:rPr>
        <w:t>.</w:t>
      </w:r>
      <w:bookmarkStart w:id="0" w:name="_GoBack"/>
      <w:bookmarkEnd w:id="0"/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FB67F7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FB67F7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69</cp:revision>
  <dcterms:created xsi:type="dcterms:W3CDTF">2018-10-12T10:34:00Z</dcterms:created>
  <dcterms:modified xsi:type="dcterms:W3CDTF">2024-09-25T07:25:00Z</dcterms:modified>
</cp:coreProperties>
</file>